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AA7B9" w14:textId="77777777" w:rsidR="00C25E6D" w:rsidRPr="003117B3" w:rsidRDefault="00C25E6D" w:rsidP="00C25E6D">
      <w:pPr>
        <w:spacing w:line="276" w:lineRule="auto"/>
        <w:jc w:val="center"/>
        <w:rPr>
          <w:rFonts w:ascii="Times New Roman" w:hAnsi="Times New Roman" w:cs="Times New Roman"/>
          <w:b/>
          <w:color w:val="000000" w:themeColor="text1"/>
          <w:lang w:val="ro-MD"/>
        </w:rPr>
      </w:pPr>
      <w:r w:rsidRPr="003117B3">
        <w:rPr>
          <w:rFonts w:ascii="Times New Roman" w:hAnsi="Times New Roman" w:cs="Times New Roman"/>
          <w:b/>
          <w:color w:val="000000" w:themeColor="text1"/>
          <w:lang w:val="ro-MD"/>
        </w:rPr>
        <w:t>Tabel de concordanță</w:t>
      </w:r>
    </w:p>
    <w:tbl>
      <w:tblPr>
        <w:tblW w:w="5446" w:type="pct"/>
        <w:jc w:val="center"/>
        <w:tblCellMar>
          <w:top w:w="15" w:type="dxa"/>
          <w:left w:w="15" w:type="dxa"/>
          <w:bottom w:w="15" w:type="dxa"/>
          <w:right w:w="15" w:type="dxa"/>
        </w:tblCellMar>
        <w:tblLook w:val="04A0" w:firstRow="1" w:lastRow="0" w:firstColumn="1" w:lastColumn="0" w:noHBand="0" w:noVBand="1"/>
      </w:tblPr>
      <w:tblGrid>
        <w:gridCol w:w="15852"/>
      </w:tblGrid>
      <w:tr w:rsidR="00C25E6D" w:rsidRPr="000B7FAD" w14:paraId="625AC923" w14:textId="77777777" w:rsidTr="00E30760">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11B34" w14:textId="2315449B" w:rsidR="00C25E6D" w:rsidRPr="003117B3" w:rsidRDefault="00C25E6D" w:rsidP="00E30760">
            <w:pPr>
              <w:spacing w:after="0" w:line="276" w:lineRule="auto"/>
              <w:jc w:val="both"/>
              <w:rPr>
                <w:rFonts w:ascii="Times New Roman" w:eastAsia="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 xml:space="preserve">1. </w:t>
            </w:r>
            <w:r w:rsidRPr="000A2F4D">
              <w:rPr>
                <w:rFonts w:ascii="Times New Roman" w:eastAsia="Times New Roman" w:hAnsi="Times New Roman" w:cs="Times New Roman"/>
                <w:b/>
                <w:color w:val="000000" w:themeColor="text1"/>
                <w:lang w:val="ro-MD"/>
              </w:rPr>
              <w:t xml:space="preserve">Titlul actului UE, inclusiv cea mai recentă modificare, </w:t>
            </w:r>
            <w:proofErr w:type="spellStart"/>
            <w:r w:rsidRPr="000A2F4D">
              <w:rPr>
                <w:rFonts w:ascii="Times New Roman" w:eastAsia="Times New Roman" w:hAnsi="Times New Roman" w:cs="Times New Roman"/>
                <w:b/>
                <w:color w:val="000000" w:themeColor="text1"/>
                <w:lang w:val="ro-MD"/>
              </w:rPr>
              <w:t>nr.CELEX</w:t>
            </w:r>
            <w:proofErr w:type="spellEnd"/>
            <w:r w:rsidRPr="007E64D8">
              <w:rPr>
                <w:rFonts w:ascii="Times New Roman" w:eastAsia="Times New Roman" w:hAnsi="Times New Roman" w:cs="Times New Roman"/>
                <w:b/>
                <w:color w:val="000000" w:themeColor="text1"/>
                <w:lang w:val="ro-MD"/>
              </w:rPr>
              <w:t>: 320</w:t>
            </w:r>
            <w:r w:rsidR="003F66A2" w:rsidRPr="007E64D8">
              <w:rPr>
                <w:rFonts w:ascii="Times New Roman" w:eastAsia="Times New Roman" w:hAnsi="Times New Roman" w:cs="Times New Roman"/>
                <w:b/>
                <w:color w:val="000000" w:themeColor="text1"/>
                <w:lang w:val="ro-MD"/>
              </w:rPr>
              <w:t>22</w:t>
            </w:r>
            <w:r w:rsidRPr="007E64D8">
              <w:rPr>
                <w:rFonts w:ascii="Times New Roman" w:eastAsia="Times New Roman" w:hAnsi="Times New Roman" w:cs="Times New Roman"/>
                <w:b/>
                <w:color w:val="000000" w:themeColor="text1"/>
                <w:lang w:val="ro-MD"/>
              </w:rPr>
              <w:t>R</w:t>
            </w:r>
            <w:r w:rsidR="003F66A2" w:rsidRPr="007E64D8">
              <w:rPr>
                <w:rFonts w:ascii="Times New Roman" w:eastAsia="Times New Roman" w:hAnsi="Times New Roman" w:cs="Times New Roman"/>
                <w:b/>
                <w:color w:val="000000" w:themeColor="text1"/>
                <w:lang w:val="ro-MD"/>
              </w:rPr>
              <w:t>2058</w:t>
            </w:r>
          </w:p>
          <w:p w14:paraId="70ED802A" w14:textId="77777777" w:rsidR="00C25E6D" w:rsidRPr="003117B3" w:rsidRDefault="00C25E6D" w:rsidP="00E30760">
            <w:pPr>
              <w:spacing w:after="0" w:line="276" w:lineRule="auto"/>
              <w:jc w:val="both"/>
              <w:rPr>
                <w:rFonts w:ascii="Times New Roman" w:eastAsia="Times New Roman" w:hAnsi="Times New Roman" w:cs="Times New Roman"/>
                <w:color w:val="000000" w:themeColor="text1"/>
                <w:lang w:val="ro-MD"/>
              </w:rPr>
            </w:pPr>
          </w:p>
        </w:tc>
      </w:tr>
      <w:tr w:rsidR="00C25E6D" w:rsidRPr="00D32658" w14:paraId="57D797E9" w14:textId="77777777" w:rsidTr="00E30760">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E3238C" w14:textId="5BD36E00" w:rsidR="00C25E6D" w:rsidRPr="003117B3" w:rsidRDefault="00C25E6D" w:rsidP="00C25E6D">
            <w:pPr>
              <w:spacing w:line="276" w:lineRule="auto"/>
              <w:jc w:val="both"/>
              <w:rPr>
                <w:rFonts w:ascii="Times New Roman" w:hAnsi="Times New Roman" w:cs="Times New Roman"/>
                <w:color w:val="000000" w:themeColor="text1"/>
                <w:lang w:val="ro-RO"/>
              </w:rPr>
            </w:pPr>
            <w:bookmarkStart w:id="0" w:name="_Hlk225322156"/>
            <w:r w:rsidRPr="00D32658">
              <w:rPr>
                <w:rFonts w:ascii="Times New Roman" w:hAnsi="Times New Roman" w:cs="Times New Roman"/>
                <w:b/>
                <w:bCs/>
                <w:color w:val="000000" w:themeColor="text1"/>
                <w:u w:val="single"/>
                <w:lang w:val="ro-MD"/>
              </w:rPr>
              <w:t xml:space="preserve">REGULAMENTUL DELEGAT (UE) </w:t>
            </w:r>
            <w:bookmarkStart w:id="1" w:name="_Hlk223504897"/>
            <w:r w:rsidRPr="00D32658">
              <w:rPr>
                <w:rFonts w:ascii="Times New Roman" w:hAnsi="Times New Roman" w:cs="Times New Roman"/>
                <w:b/>
                <w:bCs/>
                <w:color w:val="000000" w:themeColor="text1"/>
                <w:u w:val="single"/>
                <w:lang w:val="ro-MD"/>
              </w:rPr>
              <w:t>2022/2058</w:t>
            </w:r>
            <w:r w:rsidRPr="00C25E6D">
              <w:rPr>
                <w:rFonts w:ascii="Times New Roman" w:hAnsi="Times New Roman" w:cs="Times New Roman"/>
                <w:b/>
                <w:bCs/>
                <w:color w:val="000000" w:themeColor="text1"/>
                <w:u w:val="single"/>
                <w:lang w:val="ro-MD"/>
              </w:rPr>
              <w:t xml:space="preserve"> </w:t>
            </w:r>
            <w:bookmarkEnd w:id="1"/>
            <w:r w:rsidRPr="00C25E6D">
              <w:rPr>
                <w:rFonts w:ascii="Times New Roman" w:hAnsi="Times New Roman" w:cs="Times New Roman"/>
                <w:b/>
                <w:bCs/>
                <w:color w:val="000000" w:themeColor="text1"/>
                <w:u w:val="single"/>
                <w:lang w:val="ro-MD"/>
              </w:rPr>
              <w:t>AL COMISIEI</w:t>
            </w:r>
            <w:r>
              <w:rPr>
                <w:rFonts w:ascii="Times New Roman" w:hAnsi="Times New Roman" w:cs="Times New Roman"/>
                <w:b/>
                <w:bCs/>
                <w:color w:val="000000" w:themeColor="text1"/>
                <w:u w:val="single"/>
                <w:lang w:val="ro-MD"/>
              </w:rPr>
              <w:t xml:space="preserve"> </w:t>
            </w:r>
            <w:r w:rsidRPr="00C25E6D">
              <w:rPr>
                <w:rFonts w:ascii="Times New Roman" w:hAnsi="Times New Roman" w:cs="Times New Roman"/>
                <w:b/>
                <w:bCs/>
                <w:color w:val="000000" w:themeColor="text1"/>
                <w:u w:val="single"/>
                <w:lang w:val="ro-MD"/>
              </w:rPr>
              <w:t>din 28 februarie 2022</w:t>
            </w:r>
            <w:r>
              <w:rPr>
                <w:rFonts w:ascii="Times New Roman" w:hAnsi="Times New Roman" w:cs="Times New Roman"/>
                <w:b/>
                <w:bCs/>
                <w:color w:val="000000" w:themeColor="text1"/>
                <w:u w:val="single"/>
                <w:lang w:val="ro-MD"/>
              </w:rPr>
              <w:t xml:space="preserve"> </w:t>
            </w:r>
            <w:r w:rsidRPr="00C25E6D">
              <w:rPr>
                <w:rFonts w:ascii="Times New Roman" w:hAnsi="Times New Roman" w:cs="Times New Roman"/>
                <w:b/>
                <w:bCs/>
                <w:color w:val="000000" w:themeColor="text1"/>
                <w:u w:val="single"/>
                <w:lang w:val="ro-MD"/>
              </w:rPr>
              <w:t>de completare a Regulamentului (UE) nr. 575/2013 al Parlamentului European și al Consiliului în ceea</w:t>
            </w:r>
            <w:r>
              <w:rPr>
                <w:rFonts w:ascii="Times New Roman" w:hAnsi="Times New Roman" w:cs="Times New Roman"/>
                <w:b/>
                <w:bCs/>
                <w:color w:val="000000" w:themeColor="text1"/>
                <w:u w:val="single"/>
                <w:lang w:val="ro-MD"/>
              </w:rPr>
              <w:t xml:space="preserve"> </w:t>
            </w:r>
            <w:r w:rsidRPr="00C25E6D">
              <w:rPr>
                <w:rFonts w:ascii="Times New Roman" w:hAnsi="Times New Roman" w:cs="Times New Roman"/>
                <w:b/>
                <w:bCs/>
                <w:color w:val="000000" w:themeColor="text1"/>
                <w:u w:val="single"/>
                <w:lang w:val="ro-MD"/>
              </w:rPr>
              <w:t>ce privește standardele tehnice de reglementare referitoare la orizonturile de lichiditate pentru</w:t>
            </w:r>
            <w:r>
              <w:rPr>
                <w:rFonts w:ascii="Times New Roman" w:hAnsi="Times New Roman" w:cs="Times New Roman"/>
                <w:b/>
                <w:bCs/>
                <w:color w:val="000000" w:themeColor="text1"/>
                <w:u w:val="single"/>
                <w:lang w:val="ro-MD"/>
              </w:rPr>
              <w:t xml:space="preserve"> </w:t>
            </w:r>
            <w:r w:rsidRPr="00C25E6D">
              <w:rPr>
                <w:rFonts w:ascii="Times New Roman" w:hAnsi="Times New Roman" w:cs="Times New Roman"/>
                <w:b/>
                <w:bCs/>
                <w:color w:val="000000" w:themeColor="text1"/>
                <w:u w:val="single"/>
                <w:lang w:val="ro-MD"/>
              </w:rPr>
              <w:t>abordarea bazată pe modele interne alternativă, menționate la articolul 325bd alineatul (7)</w:t>
            </w:r>
            <w:bookmarkEnd w:id="0"/>
          </w:p>
        </w:tc>
      </w:tr>
      <w:tr w:rsidR="00C25E6D" w:rsidRPr="00D32658" w14:paraId="6096CF98" w14:textId="77777777" w:rsidTr="00E30760">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BAE9F" w14:textId="77777777" w:rsidR="00C25E6D" w:rsidRPr="003117B3" w:rsidRDefault="00C25E6D" w:rsidP="00E30760">
            <w:pPr>
              <w:tabs>
                <w:tab w:val="left" w:pos="5088"/>
              </w:tabs>
              <w:spacing w:after="0" w:line="276" w:lineRule="auto"/>
              <w:jc w:val="both"/>
              <w:rPr>
                <w:rFonts w:ascii="Times New Roman" w:eastAsia="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 xml:space="preserve">2. </w:t>
            </w:r>
            <w:r w:rsidRPr="000A2F4D">
              <w:rPr>
                <w:rFonts w:ascii="Times New Roman" w:eastAsia="Times New Roman" w:hAnsi="Times New Roman" w:cs="Times New Roman"/>
                <w:b/>
                <w:color w:val="000000" w:themeColor="text1"/>
                <w:lang w:val="ro-MD"/>
              </w:rPr>
              <w:t xml:space="preserve">Titlul proiectului de act normativ </w:t>
            </w:r>
            <w:proofErr w:type="spellStart"/>
            <w:r w:rsidRPr="000A2F4D">
              <w:rPr>
                <w:rFonts w:ascii="Times New Roman" w:eastAsia="Times New Roman" w:hAnsi="Times New Roman" w:cs="Times New Roman"/>
                <w:b/>
                <w:color w:val="000000" w:themeColor="text1"/>
                <w:lang w:val="ro-MD"/>
              </w:rPr>
              <w:t>naţional</w:t>
            </w:r>
            <w:proofErr w:type="spellEnd"/>
          </w:p>
        </w:tc>
      </w:tr>
      <w:tr w:rsidR="00C25E6D" w:rsidRPr="00D32658" w14:paraId="7A465777" w14:textId="77777777" w:rsidTr="00E30760">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A6DF26" w14:textId="06EBBAA1" w:rsidR="00C25E6D" w:rsidRPr="003117B3" w:rsidRDefault="00C25E6D" w:rsidP="00E30760">
            <w:pPr>
              <w:tabs>
                <w:tab w:val="left" w:pos="5088"/>
              </w:tabs>
              <w:spacing w:after="0" w:line="276" w:lineRule="auto"/>
              <w:jc w:val="both"/>
              <w:rPr>
                <w:rFonts w:ascii="Times New Roman" w:hAnsi="Times New Roman" w:cs="Times New Roman"/>
                <w:color w:val="000000" w:themeColor="text1"/>
                <w:u w:val="single"/>
                <w:lang w:val="ro-MD"/>
              </w:rPr>
            </w:pPr>
            <w:r w:rsidRPr="00627361">
              <w:rPr>
                <w:rFonts w:ascii="Times New Roman" w:hAnsi="Times New Roman" w:cs="Times New Roman"/>
                <w:color w:val="000000" w:themeColor="text1"/>
                <w:u w:val="single"/>
                <w:lang w:val="ro-MD"/>
              </w:rPr>
              <w:t>Regulamentul privind cerinț</w:t>
            </w:r>
            <w:r w:rsidR="00E30DB4">
              <w:rPr>
                <w:rFonts w:ascii="Times New Roman" w:hAnsi="Times New Roman" w:cs="Times New Roman"/>
                <w:color w:val="000000" w:themeColor="text1"/>
                <w:u w:val="single"/>
                <w:lang w:val="ro-MD"/>
              </w:rPr>
              <w:t>e</w:t>
            </w:r>
            <w:r w:rsidRPr="00627361">
              <w:rPr>
                <w:rFonts w:ascii="Times New Roman" w:hAnsi="Times New Roman" w:cs="Times New Roman"/>
                <w:color w:val="000000" w:themeColor="text1"/>
                <w:u w:val="single"/>
                <w:lang w:val="ro-MD"/>
              </w:rPr>
              <w:t xml:space="preserve"> de fonduri proprii pentru riscul </w:t>
            </w:r>
            <w:r>
              <w:rPr>
                <w:rFonts w:ascii="Times New Roman" w:hAnsi="Times New Roman" w:cs="Times New Roman"/>
                <w:color w:val="000000" w:themeColor="text1"/>
                <w:u w:val="single"/>
                <w:lang w:val="ro-MD"/>
              </w:rPr>
              <w:t xml:space="preserve">de </w:t>
            </w:r>
            <w:r>
              <w:rPr>
                <w:rFonts w:ascii="Times New Roman" w:hAnsi="Times New Roman" w:cs="Times New Roman"/>
                <w:color w:val="000000" w:themeColor="text1"/>
                <w:u w:val="single"/>
                <w:lang w:val="ro-RO"/>
              </w:rPr>
              <w:t>piață</w:t>
            </w:r>
            <w:r w:rsidRPr="00B8056D">
              <w:rPr>
                <w:rFonts w:ascii="Times New Roman" w:hAnsi="Times New Roman" w:cs="Times New Roman"/>
                <w:color w:val="000000" w:themeColor="text1"/>
                <w:u w:val="single"/>
                <w:lang w:val="ro-MD"/>
              </w:rPr>
              <w:t>, aprobat prin Hotărârea Comitetului executiv</w:t>
            </w:r>
            <w:r>
              <w:rPr>
                <w:rFonts w:ascii="Times New Roman" w:hAnsi="Times New Roman" w:cs="Times New Roman"/>
                <w:color w:val="000000" w:themeColor="text1"/>
                <w:u w:val="single"/>
                <w:lang w:val="ro-MD"/>
              </w:rPr>
              <w:t xml:space="preserve"> </w:t>
            </w:r>
            <w:r w:rsidRPr="00B8056D">
              <w:rPr>
                <w:rFonts w:ascii="Times New Roman" w:hAnsi="Times New Roman" w:cs="Times New Roman"/>
                <w:color w:val="000000" w:themeColor="text1"/>
                <w:u w:val="single"/>
                <w:lang w:val="ro-MD"/>
              </w:rPr>
              <w:t xml:space="preserve">al Băncii Naționale a Moldovei </w:t>
            </w:r>
            <w:proofErr w:type="spellStart"/>
            <w:r w:rsidRPr="00B8056D">
              <w:rPr>
                <w:rFonts w:ascii="Times New Roman" w:hAnsi="Times New Roman" w:cs="Times New Roman"/>
                <w:color w:val="000000" w:themeColor="text1"/>
                <w:u w:val="single"/>
                <w:lang w:val="ro-MD"/>
              </w:rPr>
              <w:t>nr.XX</w:t>
            </w:r>
            <w:proofErr w:type="spellEnd"/>
            <w:r w:rsidRPr="00B8056D">
              <w:rPr>
                <w:rFonts w:ascii="Times New Roman" w:hAnsi="Times New Roman" w:cs="Times New Roman"/>
                <w:color w:val="000000" w:themeColor="text1"/>
                <w:u w:val="single"/>
                <w:lang w:val="ro-MD"/>
              </w:rPr>
              <w:t xml:space="preserve"> din XX.XX.202</w:t>
            </w:r>
            <w:r w:rsidR="003B4E4D">
              <w:rPr>
                <w:rFonts w:ascii="Times New Roman" w:hAnsi="Times New Roman" w:cs="Times New Roman"/>
                <w:color w:val="000000" w:themeColor="text1"/>
                <w:u w:val="single"/>
                <w:lang w:val="ro-MD"/>
              </w:rPr>
              <w:t>6</w:t>
            </w:r>
          </w:p>
          <w:p w14:paraId="60CB81FB" w14:textId="77777777" w:rsidR="00C25E6D" w:rsidRPr="003117B3" w:rsidRDefault="00C25E6D" w:rsidP="00E30760">
            <w:pPr>
              <w:tabs>
                <w:tab w:val="left" w:pos="5088"/>
              </w:tabs>
              <w:spacing w:after="0" w:line="276" w:lineRule="auto"/>
              <w:jc w:val="both"/>
              <w:rPr>
                <w:rFonts w:ascii="Times New Roman" w:hAnsi="Times New Roman" w:cs="Times New Roman"/>
                <w:color w:val="000000" w:themeColor="text1"/>
                <w:lang w:val="ro-MD"/>
              </w:rPr>
            </w:pPr>
          </w:p>
        </w:tc>
      </w:tr>
      <w:tr w:rsidR="00C25E6D" w:rsidRPr="000B7FAD" w14:paraId="6235FA8E" w14:textId="77777777" w:rsidTr="00E30760">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675E6" w14:textId="77777777" w:rsidR="00C25E6D" w:rsidRPr="003117B3" w:rsidRDefault="00C25E6D" w:rsidP="00E30760">
            <w:pPr>
              <w:spacing w:after="0" w:line="276" w:lineRule="auto"/>
              <w:jc w:val="both"/>
              <w:rPr>
                <w:rFonts w:ascii="Times New Roman" w:eastAsia="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3. Gradul general de compatibilitate</w:t>
            </w:r>
            <w:r w:rsidRPr="003117B3">
              <w:rPr>
                <w:rFonts w:ascii="Times New Roman" w:eastAsia="Times New Roman" w:hAnsi="Times New Roman" w:cs="Times New Roman"/>
                <w:color w:val="000000" w:themeColor="text1"/>
                <w:lang w:val="ro-MD"/>
              </w:rPr>
              <w:t>– Parțial compatibil</w:t>
            </w:r>
          </w:p>
        </w:tc>
      </w:tr>
      <w:tr w:rsidR="00C25E6D" w:rsidRPr="00D32658" w14:paraId="0436E472" w14:textId="77777777" w:rsidTr="00E30760">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D9F91E" w14:textId="6C99810A" w:rsidR="00C25E6D" w:rsidRPr="00D32658" w:rsidRDefault="00C25E6D" w:rsidP="00E30760">
            <w:pPr>
              <w:spacing w:after="0" w:line="276" w:lineRule="auto"/>
              <w:jc w:val="both"/>
              <w:rPr>
                <w:rFonts w:ascii="Times New Roman" w:eastAsia="Times New Roman" w:hAnsi="Times New Roman" w:cs="Times New Roman"/>
                <w:bCs/>
                <w:color w:val="000000" w:themeColor="text1"/>
                <w:lang w:val="ro-MD"/>
              </w:rPr>
            </w:pPr>
            <w:r>
              <w:rPr>
                <w:rFonts w:ascii="Times New Roman" w:eastAsia="Times New Roman" w:hAnsi="Times New Roman" w:cs="Times New Roman"/>
                <w:b/>
                <w:color w:val="000000" w:themeColor="text1"/>
                <w:lang w:val="ro-MD"/>
              </w:rPr>
              <w:t xml:space="preserve">4. </w:t>
            </w:r>
            <w:r w:rsidRPr="000A2F4D">
              <w:rPr>
                <w:rFonts w:ascii="Times New Roman" w:eastAsia="Times New Roman" w:hAnsi="Times New Roman" w:cs="Times New Roman"/>
                <w:b/>
                <w:color w:val="000000" w:themeColor="text1"/>
                <w:lang w:val="ro-MD"/>
              </w:rPr>
              <w:t>Autoritatea/persoana responsabilă</w:t>
            </w:r>
            <w:r w:rsidR="00D32658">
              <w:rPr>
                <w:rFonts w:ascii="Times New Roman" w:eastAsia="Times New Roman" w:hAnsi="Times New Roman" w:cs="Times New Roman"/>
                <w:b/>
                <w:color w:val="000000" w:themeColor="text1"/>
                <w:lang w:val="ro-MD"/>
              </w:rPr>
              <w:t xml:space="preserve"> </w:t>
            </w:r>
            <w:r w:rsidR="00D32658">
              <w:rPr>
                <w:rFonts w:ascii="Times New Roman" w:eastAsia="Times New Roman" w:hAnsi="Times New Roman" w:cs="Times New Roman"/>
                <w:bCs/>
                <w:color w:val="000000" w:themeColor="text1"/>
                <w:lang w:val="ro-MD"/>
              </w:rPr>
              <w:t>– Banca Națională a Moldovei</w:t>
            </w:r>
          </w:p>
        </w:tc>
      </w:tr>
      <w:tr w:rsidR="00C25E6D" w:rsidRPr="000A2F4D" w14:paraId="511AF423" w14:textId="77777777" w:rsidTr="00E30760">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E69625" w14:textId="652395D6" w:rsidR="00C25E6D" w:rsidRPr="003117B3" w:rsidRDefault="00C25E6D" w:rsidP="00E30760">
            <w:pPr>
              <w:spacing w:after="0" w:line="276" w:lineRule="auto"/>
              <w:jc w:val="both"/>
              <w:rPr>
                <w:rFonts w:ascii="Times New Roman" w:eastAsia="Times New Roman" w:hAnsi="Times New Roman" w:cs="Times New Roman"/>
                <w:b/>
                <w:color w:val="000000" w:themeColor="text1"/>
                <w:lang w:val="ro-MD"/>
              </w:rPr>
            </w:pPr>
            <w:r>
              <w:rPr>
                <w:rFonts w:ascii="Times New Roman" w:eastAsia="Times New Roman" w:hAnsi="Times New Roman" w:cs="Times New Roman"/>
                <w:b/>
                <w:color w:val="000000" w:themeColor="text1"/>
                <w:lang w:val="ro-MD"/>
              </w:rPr>
              <w:t xml:space="preserve">5. </w:t>
            </w:r>
            <w:r w:rsidRPr="000A2F4D">
              <w:rPr>
                <w:rFonts w:ascii="Times New Roman" w:eastAsia="Times New Roman" w:hAnsi="Times New Roman" w:cs="Times New Roman"/>
                <w:b/>
                <w:color w:val="000000" w:themeColor="text1"/>
                <w:lang w:val="ro-MD"/>
              </w:rPr>
              <w:t>Data întocmirii/actualizării</w:t>
            </w:r>
            <w:r w:rsidR="00D32658">
              <w:rPr>
                <w:rFonts w:ascii="Times New Roman" w:eastAsia="Times New Roman" w:hAnsi="Times New Roman" w:cs="Times New Roman"/>
                <w:b/>
                <w:color w:val="000000" w:themeColor="text1"/>
                <w:lang w:val="ro-MD"/>
              </w:rPr>
              <w:t xml:space="preserve"> </w:t>
            </w:r>
            <w:r w:rsidR="00D32658" w:rsidRPr="00D32658">
              <w:rPr>
                <w:rFonts w:ascii="Times New Roman" w:eastAsia="Times New Roman" w:hAnsi="Times New Roman" w:cs="Times New Roman"/>
                <w:bCs/>
                <w:color w:val="000000" w:themeColor="text1"/>
                <w:lang w:val="ro-MD"/>
              </w:rPr>
              <w:t>– 19.06.2026</w:t>
            </w:r>
          </w:p>
        </w:tc>
      </w:tr>
    </w:tbl>
    <w:p w14:paraId="1214D5BC" w14:textId="77777777" w:rsidR="00C25E6D" w:rsidRPr="003117B3" w:rsidRDefault="00C25E6D" w:rsidP="00C25E6D">
      <w:pPr>
        <w:spacing w:line="276" w:lineRule="auto"/>
        <w:jc w:val="both"/>
        <w:rPr>
          <w:rFonts w:ascii="Times New Roman" w:hAnsi="Times New Roman" w:cs="Times New Roman"/>
          <w:color w:val="000000" w:themeColor="text1"/>
          <w:lang w:val="ro-MD"/>
        </w:rPr>
      </w:pPr>
    </w:p>
    <w:tbl>
      <w:tblPr>
        <w:tblW w:w="5406" w:type="pct"/>
        <w:tblInd w:w="-579" w:type="dxa"/>
        <w:tblLayout w:type="fixed"/>
        <w:tblLook w:val="01E0" w:firstRow="1" w:lastRow="1" w:firstColumn="1" w:lastColumn="1" w:noHBand="0" w:noVBand="0"/>
      </w:tblPr>
      <w:tblGrid>
        <w:gridCol w:w="5028"/>
        <w:gridCol w:w="5327"/>
        <w:gridCol w:w="1417"/>
        <w:gridCol w:w="3970"/>
      </w:tblGrid>
      <w:tr w:rsidR="00C25E6D" w:rsidRPr="003117B3" w14:paraId="720F0602" w14:textId="77777777" w:rsidTr="00E30760">
        <w:trPr>
          <w:tblHeader/>
        </w:trPr>
        <w:tc>
          <w:tcPr>
            <w:tcW w:w="1597" w:type="pct"/>
            <w:tcBorders>
              <w:top w:val="single" w:sz="4" w:space="0" w:color="auto"/>
              <w:left w:val="single" w:sz="4" w:space="0" w:color="auto"/>
              <w:bottom w:val="single" w:sz="4" w:space="0" w:color="auto"/>
              <w:right w:val="single" w:sz="4" w:space="0" w:color="auto"/>
            </w:tcBorders>
            <w:vAlign w:val="center"/>
          </w:tcPr>
          <w:p w14:paraId="445839CE" w14:textId="77777777" w:rsidR="00C25E6D" w:rsidRPr="003117B3" w:rsidRDefault="00C25E6D" w:rsidP="00E30760">
            <w:pPr>
              <w:spacing w:line="276" w:lineRule="auto"/>
              <w:jc w:val="center"/>
              <w:rPr>
                <w:rFonts w:ascii="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Actul Uniunii Europene</w:t>
            </w:r>
          </w:p>
        </w:tc>
        <w:tc>
          <w:tcPr>
            <w:tcW w:w="1692" w:type="pct"/>
            <w:tcBorders>
              <w:top w:val="single" w:sz="4" w:space="0" w:color="auto"/>
              <w:left w:val="single" w:sz="4" w:space="0" w:color="auto"/>
              <w:bottom w:val="single" w:sz="4" w:space="0" w:color="auto"/>
              <w:right w:val="single" w:sz="4" w:space="0" w:color="auto"/>
            </w:tcBorders>
            <w:vAlign w:val="center"/>
          </w:tcPr>
          <w:p w14:paraId="49171E81" w14:textId="57795E82" w:rsidR="00C25E6D" w:rsidRPr="00C206F7" w:rsidRDefault="00C25E6D" w:rsidP="00C206F7">
            <w:pPr>
              <w:spacing w:line="276" w:lineRule="auto"/>
              <w:jc w:val="center"/>
              <w:rPr>
                <w:rFonts w:ascii="Times New Roman" w:eastAsia="Times New Roman" w:hAnsi="Times New Roman" w:cs="Times New Roman"/>
                <w:b/>
                <w:color w:val="000000" w:themeColor="text1"/>
                <w:lang w:val="ro-MD"/>
              </w:rPr>
            </w:pPr>
            <w:r w:rsidRPr="000A2F4D">
              <w:rPr>
                <w:rFonts w:ascii="Times New Roman" w:eastAsia="Times New Roman" w:hAnsi="Times New Roman" w:cs="Times New Roman"/>
                <w:b/>
                <w:color w:val="000000" w:themeColor="text1"/>
                <w:lang w:val="ro-MD"/>
              </w:rPr>
              <w:t xml:space="preserve">Proiectul de act normativ </w:t>
            </w:r>
            <w:proofErr w:type="spellStart"/>
            <w:r w:rsidRPr="000A2F4D">
              <w:rPr>
                <w:rFonts w:ascii="Times New Roman" w:eastAsia="Times New Roman" w:hAnsi="Times New Roman" w:cs="Times New Roman"/>
                <w:b/>
                <w:color w:val="000000" w:themeColor="text1"/>
                <w:lang w:val="ro-MD"/>
              </w:rPr>
              <w:t>naţional</w:t>
            </w:r>
            <w:proofErr w:type="spellEnd"/>
          </w:p>
        </w:tc>
        <w:tc>
          <w:tcPr>
            <w:tcW w:w="450" w:type="pct"/>
            <w:tcBorders>
              <w:top w:val="single" w:sz="4" w:space="0" w:color="auto"/>
              <w:left w:val="single" w:sz="4" w:space="0" w:color="auto"/>
              <w:bottom w:val="single" w:sz="4" w:space="0" w:color="auto"/>
              <w:right w:val="single" w:sz="4" w:space="0" w:color="auto"/>
            </w:tcBorders>
            <w:vAlign w:val="center"/>
          </w:tcPr>
          <w:p w14:paraId="16FA0C9D" w14:textId="77777777" w:rsidR="00C25E6D" w:rsidRPr="003117B3" w:rsidRDefault="00C25E6D" w:rsidP="00E30760">
            <w:pPr>
              <w:spacing w:line="276" w:lineRule="auto"/>
              <w:jc w:val="center"/>
              <w:rPr>
                <w:rFonts w:ascii="Times New Roman" w:eastAsia="Times New Roman" w:hAnsi="Times New Roman" w:cs="Times New Roman"/>
                <w:b/>
                <w:color w:val="000000" w:themeColor="text1"/>
                <w:lang w:val="ro-MD"/>
              </w:rPr>
            </w:pPr>
            <w:r w:rsidRPr="003117B3">
              <w:rPr>
                <w:rFonts w:ascii="Times New Roman" w:eastAsia="Times New Roman" w:hAnsi="Times New Roman" w:cs="Times New Roman"/>
                <w:b/>
                <w:color w:val="000000" w:themeColor="text1"/>
                <w:lang w:val="ro-MD"/>
              </w:rPr>
              <w:t>Gradul de compatibilitate</w:t>
            </w:r>
          </w:p>
        </w:tc>
        <w:tc>
          <w:tcPr>
            <w:tcW w:w="1261" w:type="pct"/>
            <w:tcBorders>
              <w:top w:val="single" w:sz="4" w:space="0" w:color="auto"/>
              <w:left w:val="single" w:sz="4" w:space="0" w:color="auto"/>
              <w:bottom w:val="single" w:sz="4" w:space="0" w:color="auto"/>
              <w:right w:val="single" w:sz="4" w:space="0" w:color="auto"/>
            </w:tcBorders>
            <w:vAlign w:val="center"/>
          </w:tcPr>
          <w:p w14:paraId="11C29D08" w14:textId="77777777" w:rsidR="00C25E6D" w:rsidRPr="003117B3" w:rsidRDefault="00C25E6D" w:rsidP="00E30760">
            <w:pPr>
              <w:spacing w:line="276" w:lineRule="auto"/>
              <w:rPr>
                <w:rFonts w:ascii="Times New Roman" w:hAnsi="Times New Roman" w:cs="Times New Roman"/>
                <w:color w:val="000000" w:themeColor="text1"/>
                <w:lang w:val="ro-MD"/>
              </w:rPr>
            </w:pPr>
            <w:r w:rsidRPr="003117B3">
              <w:rPr>
                <w:rFonts w:ascii="Times New Roman" w:eastAsia="Times New Roman" w:hAnsi="Times New Roman" w:cs="Times New Roman"/>
                <w:b/>
                <w:color w:val="000000" w:themeColor="text1"/>
                <w:lang w:val="ro-MD"/>
              </w:rPr>
              <w:t xml:space="preserve"> Observații</w:t>
            </w:r>
          </w:p>
        </w:tc>
      </w:tr>
      <w:tr w:rsidR="00C25E6D" w:rsidRPr="003117B3" w14:paraId="6C3A7879" w14:textId="77777777" w:rsidTr="00E30760">
        <w:trPr>
          <w:trHeight w:val="253"/>
          <w:tblHeader/>
        </w:trPr>
        <w:tc>
          <w:tcPr>
            <w:tcW w:w="1597" w:type="pct"/>
            <w:tcBorders>
              <w:top w:val="single" w:sz="4" w:space="0" w:color="auto"/>
              <w:left w:val="single" w:sz="4" w:space="0" w:color="auto"/>
              <w:bottom w:val="single" w:sz="4" w:space="0" w:color="auto"/>
              <w:right w:val="single" w:sz="4" w:space="0" w:color="auto"/>
            </w:tcBorders>
            <w:vAlign w:val="center"/>
          </w:tcPr>
          <w:p w14:paraId="45666D38" w14:textId="77777777" w:rsidR="00C25E6D" w:rsidRPr="003117B3" w:rsidRDefault="00C25E6D" w:rsidP="00E30760">
            <w:pPr>
              <w:spacing w:line="276" w:lineRule="auto"/>
              <w:jc w:val="center"/>
              <w:rPr>
                <w:rFonts w:ascii="Times New Roman" w:eastAsia="Times New Roman" w:hAnsi="Times New Roman" w:cs="Times New Roman"/>
                <w:b/>
                <w:color w:val="000000" w:themeColor="text1"/>
                <w:lang w:val="ro-MD"/>
              </w:rPr>
            </w:pPr>
            <w:r>
              <w:rPr>
                <w:rFonts w:ascii="Times New Roman" w:eastAsia="Times New Roman" w:hAnsi="Times New Roman" w:cs="Times New Roman"/>
                <w:b/>
                <w:color w:val="000000" w:themeColor="text1"/>
                <w:lang w:val="ro-MD"/>
              </w:rPr>
              <w:t>6</w:t>
            </w:r>
          </w:p>
        </w:tc>
        <w:tc>
          <w:tcPr>
            <w:tcW w:w="1692" w:type="pct"/>
            <w:tcBorders>
              <w:top w:val="single" w:sz="4" w:space="0" w:color="auto"/>
              <w:left w:val="single" w:sz="4" w:space="0" w:color="auto"/>
              <w:bottom w:val="single" w:sz="4" w:space="0" w:color="auto"/>
              <w:right w:val="single" w:sz="4" w:space="0" w:color="auto"/>
            </w:tcBorders>
            <w:vAlign w:val="center"/>
          </w:tcPr>
          <w:p w14:paraId="0578C5CE" w14:textId="77777777" w:rsidR="00C25E6D" w:rsidRPr="003117B3" w:rsidRDefault="00C25E6D" w:rsidP="00E30760">
            <w:pPr>
              <w:spacing w:line="276" w:lineRule="auto"/>
              <w:jc w:val="center"/>
              <w:rPr>
                <w:rFonts w:ascii="Times New Roman" w:eastAsia="Times New Roman" w:hAnsi="Times New Roman" w:cs="Times New Roman"/>
                <w:b/>
                <w:color w:val="000000" w:themeColor="text1"/>
                <w:lang w:val="ro-MD"/>
              </w:rPr>
            </w:pPr>
            <w:r>
              <w:rPr>
                <w:rFonts w:ascii="Times New Roman" w:eastAsia="Times New Roman" w:hAnsi="Times New Roman" w:cs="Times New Roman"/>
                <w:b/>
                <w:color w:val="000000" w:themeColor="text1"/>
                <w:lang w:val="ro-MD"/>
              </w:rPr>
              <w:t>7</w:t>
            </w:r>
          </w:p>
        </w:tc>
        <w:tc>
          <w:tcPr>
            <w:tcW w:w="450" w:type="pct"/>
            <w:tcBorders>
              <w:top w:val="single" w:sz="4" w:space="0" w:color="auto"/>
              <w:left w:val="single" w:sz="4" w:space="0" w:color="auto"/>
              <w:bottom w:val="single" w:sz="4" w:space="0" w:color="auto"/>
              <w:right w:val="single" w:sz="4" w:space="0" w:color="auto"/>
            </w:tcBorders>
            <w:vAlign w:val="center"/>
          </w:tcPr>
          <w:p w14:paraId="054915C1" w14:textId="77777777" w:rsidR="00C25E6D" w:rsidRPr="003117B3" w:rsidRDefault="00C25E6D" w:rsidP="00E30760">
            <w:pPr>
              <w:spacing w:line="276" w:lineRule="auto"/>
              <w:jc w:val="center"/>
              <w:rPr>
                <w:rFonts w:ascii="Times New Roman" w:eastAsia="Times New Roman" w:hAnsi="Times New Roman" w:cs="Times New Roman"/>
                <w:b/>
                <w:color w:val="000000" w:themeColor="text1"/>
                <w:lang w:val="ro-MD"/>
              </w:rPr>
            </w:pPr>
            <w:r>
              <w:rPr>
                <w:rFonts w:ascii="Times New Roman" w:eastAsia="Times New Roman" w:hAnsi="Times New Roman" w:cs="Times New Roman"/>
                <w:b/>
                <w:color w:val="000000" w:themeColor="text1"/>
                <w:lang w:val="ro-MD"/>
              </w:rPr>
              <w:t>8</w:t>
            </w:r>
          </w:p>
        </w:tc>
        <w:tc>
          <w:tcPr>
            <w:tcW w:w="1261" w:type="pct"/>
            <w:tcBorders>
              <w:top w:val="single" w:sz="4" w:space="0" w:color="auto"/>
              <w:left w:val="single" w:sz="4" w:space="0" w:color="auto"/>
              <w:bottom w:val="single" w:sz="4" w:space="0" w:color="auto"/>
              <w:right w:val="single" w:sz="4" w:space="0" w:color="auto"/>
            </w:tcBorders>
            <w:vAlign w:val="center"/>
          </w:tcPr>
          <w:p w14:paraId="5FD43D24" w14:textId="77777777" w:rsidR="00C25E6D" w:rsidRPr="003117B3" w:rsidRDefault="00C25E6D" w:rsidP="00E30760">
            <w:pPr>
              <w:spacing w:line="276" w:lineRule="auto"/>
              <w:jc w:val="center"/>
              <w:rPr>
                <w:rFonts w:ascii="Times New Roman" w:eastAsia="Times New Roman" w:hAnsi="Times New Roman" w:cs="Times New Roman"/>
                <w:b/>
                <w:color w:val="000000" w:themeColor="text1"/>
                <w:lang w:val="ro-MD"/>
              </w:rPr>
            </w:pPr>
            <w:r>
              <w:rPr>
                <w:rFonts w:ascii="Times New Roman" w:eastAsia="Times New Roman" w:hAnsi="Times New Roman" w:cs="Times New Roman"/>
                <w:b/>
                <w:color w:val="000000" w:themeColor="text1"/>
                <w:lang w:val="ro-MD"/>
              </w:rPr>
              <w:t>9</w:t>
            </w:r>
          </w:p>
        </w:tc>
      </w:tr>
      <w:tr w:rsidR="00C25E6D" w:rsidRPr="00D32658" w14:paraId="3A97D7B3"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1A2CB777" w14:textId="16E8CCE7" w:rsidR="00C25E6D" w:rsidRPr="00C25E6D" w:rsidRDefault="00C25E6D" w:rsidP="00F02EF6">
            <w:pPr>
              <w:spacing w:line="276" w:lineRule="auto"/>
              <w:jc w:val="both"/>
              <w:rPr>
                <w:rFonts w:ascii="Times New Roman" w:hAnsi="Times New Roman" w:cs="Times New Roman"/>
                <w:b/>
                <w:color w:val="000000" w:themeColor="text1"/>
                <w:lang w:val="ro-MD"/>
              </w:rPr>
            </w:pPr>
            <w:r w:rsidRPr="00C25E6D">
              <w:rPr>
                <w:rFonts w:ascii="Times New Roman" w:hAnsi="Times New Roman" w:cs="Times New Roman"/>
                <w:b/>
                <w:bCs/>
                <w:color w:val="000000" w:themeColor="text1"/>
                <w:lang w:val="ro-MD"/>
              </w:rPr>
              <w:t>REGULAMENTUL DELEGAT (UE) 2022/2058 AL COMISIEI din 28 februarie 2022 de completare a Regulamentului (UE) nr. 575/2013 al Parlamentului European și al Consiliului în ceea ce privește standardele tehnice de reglementare referitoare la orizonturile de lichiditate pentru abordarea bazată pe modele interne alternativă, menționate la articolul 325bd alineatul (7)</w:t>
            </w:r>
          </w:p>
        </w:tc>
        <w:tc>
          <w:tcPr>
            <w:tcW w:w="1692" w:type="pct"/>
          </w:tcPr>
          <w:p w14:paraId="40870D4C" w14:textId="5C3B7045" w:rsidR="00C25E6D" w:rsidRPr="001C6706" w:rsidRDefault="00404045" w:rsidP="00F02EF6">
            <w:pPr>
              <w:spacing w:line="276" w:lineRule="auto"/>
              <w:jc w:val="both"/>
              <w:rPr>
                <w:rFonts w:ascii="Times New Roman" w:hAnsi="Times New Roman" w:cs="Times New Roman"/>
                <w:bCs/>
                <w:color w:val="000000" w:themeColor="text1"/>
                <w:lang w:val="ro-MD"/>
              </w:rPr>
            </w:pPr>
            <w:bookmarkStart w:id="2" w:name="_Hlk188368218"/>
            <w:r w:rsidRPr="001C6706">
              <w:rPr>
                <w:rFonts w:ascii="Times New Roman" w:hAnsi="Times New Roman" w:cs="Times New Roman"/>
                <w:bCs/>
                <w:color w:val="000000" w:themeColor="text1"/>
                <w:lang w:val="ro-MD"/>
              </w:rPr>
              <w:t>Anexa nr.</w:t>
            </w:r>
            <w:r w:rsidR="002B12E5">
              <w:rPr>
                <w:rFonts w:ascii="Times New Roman" w:hAnsi="Times New Roman" w:cs="Times New Roman"/>
                <w:bCs/>
                <w:color w:val="000000" w:themeColor="text1"/>
                <w:lang w:val="ro-MD"/>
              </w:rPr>
              <w:t>4</w:t>
            </w:r>
            <w:r w:rsidRPr="001C6706">
              <w:rPr>
                <w:rFonts w:ascii="Times New Roman" w:hAnsi="Times New Roman" w:cs="Times New Roman"/>
                <w:bCs/>
                <w:color w:val="000000" w:themeColor="text1"/>
                <w:lang w:val="ro-MD"/>
              </w:rPr>
              <w:t xml:space="preserve"> la </w:t>
            </w:r>
            <w:r w:rsidR="00C25E6D" w:rsidRPr="001C6706">
              <w:rPr>
                <w:rFonts w:ascii="Times New Roman" w:hAnsi="Times New Roman" w:cs="Times New Roman"/>
                <w:bCs/>
                <w:color w:val="000000" w:themeColor="text1"/>
                <w:lang w:val="ro-MD"/>
              </w:rPr>
              <w:t xml:space="preserve">Regulamentul privind </w:t>
            </w:r>
            <w:bookmarkStart w:id="3" w:name="_Hlk192851899"/>
            <w:r w:rsidR="00C25E6D" w:rsidRPr="001C6706">
              <w:rPr>
                <w:rFonts w:ascii="Times New Roman" w:hAnsi="Times New Roman" w:cs="Times New Roman"/>
                <w:bCs/>
                <w:color w:val="000000" w:themeColor="text1"/>
                <w:lang w:val="ro-MD"/>
              </w:rPr>
              <w:t>cerinț</w:t>
            </w:r>
            <w:r w:rsidR="00E30DB4" w:rsidRPr="001C6706">
              <w:rPr>
                <w:rFonts w:ascii="Times New Roman" w:hAnsi="Times New Roman" w:cs="Times New Roman"/>
                <w:bCs/>
                <w:color w:val="000000" w:themeColor="text1"/>
                <w:lang w:val="ro-MD"/>
              </w:rPr>
              <w:t>e</w:t>
            </w:r>
            <w:r w:rsidR="00C25E6D" w:rsidRPr="001C6706">
              <w:rPr>
                <w:rFonts w:ascii="Times New Roman" w:hAnsi="Times New Roman" w:cs="Times New Roman"/>
                <w:bCs/>
                <w:color w:val="000000" w:themeColor="text1"/>
                <w:lang w:val="ro-MD"/>
              </w:rPr>
              <w:t xml:space="preserve"> de fonduri proprii pentru riscul </w:t>
            </w:r>
            <w:bookmarkEnd w:id="2"/>
            <w:bookmarkEnd w:id="3"/>
            <w:r w:rsidR="00C25E6D" w:rsidRPr="001C6706">
              <w:rPr>
                <w:rFonts w:ascii="Times New Roman" w:hAnsi="Times New Roman" w:cs="Times New Roman"/>
                <w:bCs/>
                <w:color w:val="000000" w:themeColor="text1"/>
                <w:lang w:val="ro-MD"/>
              </w:rPr>
              <w:t xml:space="preserve">de </w:t>
            </w:r>
            <w:r w:rsidR="00C25E6D" w:rsidRPr="001C6706">
              <w:rPr>
                <w:rFonts w:ascii="Times New Roman" w:hAnsi="Times New Roman" w:cs="Times New Roman"/>
                <w:bCs/>
                <w:color w:val="000000" w:themeColor="text1"/>
                <w:lang w:val="ro-RO"/>
              </w:rPr>
              <w:t>piață</w:t>
            </w:r>
            <w:r w:rsidR="00C25E6D" w:rsidRPr="001C6706">
              <w:rPr>
                <w:rFonts w:ascii="Times New Roman" w:hAnsi="Times New Roman" w:cs="Times New Roman"/>
                <w:bCs/>
                <w:color w:val="000000" w:themeColor="text1"/>
                <w:lang w:val="ro-MD"/>
              </w:rPr>
              <w:t xml:space="preserve">, aprobat prin Hotărârea Comitetului executiv al Băncii Naționale a Moldovei  </w:t>
            </w:r>
            <w:proofErr w:type="spellStart"/>
            <w:r w:rsidR="00C25E6D" w:rsidRPr="001C6706">
              <w:rPr>
                <w:rFonts w:ascii="Times New Roman" w:hAnsi="Times New Roman" w:cs="Times New Roman"/>
                <w:bCs/>
                <w:color w:val="000000" w:themeColor="text1"/>
                <w:lang w:val="ro-MD"/>
              </w:rPr>
              <w:t>nr.XX</w:t>
            </w:r>
            <w:proofErr w:type="spellEnd"/>
            <w:r w:rsidR="00C25E6D" w:rsidRPr="001C6706">
              <w:rPr>
                <w:rFonts w:ascii="Times New Roman" w:hAnsi="Times New Roman" w:cs="Times New Roman"/>
                <w:bCs/>
                <w:color w:val="000000" w:themeColor="text1"/>
                <w:lang w:val="ro-MD"/>
              </w:rPr>
              <w:t>/2025</w:t>
            </w:r>
          </w:p>
          <w:p w14:paraId="1815F7E0" w14:textId="77777777" w:rsidR="00C25E6D" w:rsidRPr="00C25E6D" w:rsidRDefault="00C25E6D" w:rsidP="00E30760">
            <w:pPr>
              <w:spacing w:line="276" w:lineRule="auto"/>
              <w:ind w:left="448"/>
              <w:rPr>
                <w:rFonts w:ascii="Times New Roman" w:hAnsi="Times New Roman" w:cs="Times New Roman"/>
                <w:b/>
                <w:color w:val="000000" w:themeColor="text1"/>
                <w:lang w:val="ro-MD"/>
              </w:rPr>
            </w:pPr>
          </w:p>
        </w:tc>
        <w:tc>
          <w:tcPr>
            <w:tcW w:w="450" w:type="pct"/>
          </w:tcPr>
          <w:p w14:paraId="1DD308FF" w14:textId="77777777" w:rsidR="00C25E6D" w:rsidRPr="00C25E6D" w:rsidRDefault="00C25E6D" w:rsidP="00E30760">
            <w:pPr>
              <w:spacing w:line="276" w:lineRule="auto"/>
              <w:rPr>
                <w:rFonts w:ascii="Times New Roman" w:hAnsi="Times New Roman" w:cs="Times New Roman"/>
                <w:color w:val="000000" w:themeColor="text1"/>
                <w:lang w:val="ro-MD"/>
              </w:rPr>
            </w:pPr>
          </w:p>
        </w:tc>
        <w:tc>
          <w:tcPr>
            <w:tcW w:w="1261" w:type="pct"/>
          </w:tcPr>
          <w:p w14:paraId="440CD017" w14:textId="77777777" w:rsidR="00C25E6D" w:rsidRPr="00C25E6D" w:rsidRDefault="00C25E6D" w:rsidP="00E30760">
            <w:pPr>
              <w:spacing w:line="276" w:lineRule="auto"/>
              <w:rPr>
                <w:rFonts w:ascii="Times New Roman" w:hAnsi="Times New Roman" w:cs="Times New Roman"/>
                <w:color w:val="000000" w:themeColor="text1"/>
                <w:lang w:val="ro-MD"/>
              </w:rPr>
            </w:pPr>
          </w:p>
        </w:tc>
      </w:tr>
      <w:tr w:rsidR="000C69D2" w:rsidRPr="000C69D2" w14:paraId="5EC2854C"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090077E8" w14:textId="77777777" w:rsidR="000C69D2" w:rsidRPr="00C25E6D" w:rsidRDefault="000C69D2" w:rsidP="00F02EF6">
            <w:pPr>
              <w:spacing w:line="276" w:lineRule="auto"/>
              <w:jc w:val="both"/>
              <w:rPr>
                <w:rFonts w:ascii="Times New Roman" w:hAnsi="Times New Roman" w:cs="Times New Roman"/>
                <w:b/>
                <w:bCs/>
                <w:color w:val="000000" w:themeColor="text1"/>
                <w:lang w:val="ro-MD"/>
              </w:rPr>
            </w:pPr>
          </w:p>
        </w:tc>
        <w:tc>
          <w:tcPr>
            <w:tcW w:w="1692" w:type="pct"/>
          </w:tcPr>
          <w:p w14:paraId="7204A56B" w14:textId="3BC95168" w:rsidR="000C69D2" w:rsidRPr="001C6706" w:rsidRDefault="000C69D2" w:rsidP="00F02EF6">
            <w:pPr>
              <w:spacing w:line="276" w:lineRule="auto"/>
              <w:jc w:val="both"/>
              <w:rPr>
                <w:rFonts w:ascii="Times New Roman" w:hAnsi="Times New Roman" w:cs="Times New Roman"/>
                <w:b/>
                <w:color w:val="000000" w:themeColor="text1"/>
                <w:lang w:val="ro-MD"/>
              </w:rPr>
            </w:pPr>
            <w:bookmarkStart w:id="4" w:name="_Hlk223694299"/>
            <w:r w:rsidRPr="001C6706">
              <w:rPr>
                <w:rFonts w:ascii="Times New Roman" w:hAnsi="Times New Roman" w:cs="Times New Roman"/>
                <w:b/>
                <w:color w:val="000000" w:themeColor="text1"/>
                <w:lang w:val="ro-MD"/>
              </w:rPr>
              <w:t>Orizonturile de lichiditate pentru abordarea bazată pe modele interne alternativă</w:t>
            </w:r>
            <w:bookmarkEnd w:id="4"/>
          </w:p>
        </w:tc>
        <w:tc>
          <w:tcPr>
            <w:tcW w:w="450" w:type="pct"/>
          </w:tcPr>
          <w:p w14:paraId="374AE52B" w14:textId="77777777" w:rsidR="000C69D2" w:rsidRPr="00C25E6D" w:rsidRDefault="000C69D2" w:rsidP="00E30760">
            <w:pPr>
              <w:spacing w:line="276" w:lineRule="auto"/>
              <w:rPr>
                <w:rFonts w:ascii="Times New Roman" w:hAnsi="Times New Roman" w:cs="Times New Roman"/>
                <w:color w:val="000000" w:themeColor="text1"/>
                <w:lang w:val="ro-MD"/>
              </w:rPr>
            </w:pPr>
          </w:p>
        </w:tc>
        <w:tc>
          <w:tcPr>
            <w:tcW w:w="1261" w:type="pct"/>
          </w:tcPr>
          <w:p w14:paraId="4F4680A8" w14:textId="77777777" w:rsidR="000C69D2" w:rsidRPr="00C25E6D" w:rsidRDefault="000C69D2" w:rsidP="00E30760">
            <w:pPr>
              <w:spacing w:line="276" w:lineRule="auto"/>
              <w:rPr>
                <w:rFonts w:ascii="Times New Roman" w:hAnsi="Times New Roman" w:cs="Times New Roman"/>
                <w:color w:val="000000" w:themeColor="text1"/>
                <w:lang w:val="ro-MD"/>
              </w:rPr>
            </w:pPr>
          </w:p>
        </w:tc>
      </w:tr>
      <w:tr w:rsidR="007E64D8" w:rsidRPr="00D32658" w14:paraId="0F950614"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480EC68E" w14:textId="22B0B22E" w:rsidR="007E64D8" w:rsidRPr="001B0475" w:rsidRDefault="007E64D8" w:rsidP="007E64D8">
            <w:pPr>
              <w:spacing w:line="276" w:lineRule="auto"/>
              <w:rPr>
                <w:rFonts w:ascii="Times New Roman" w:hAnsi="Times New Roman" w:cs="Times New Roman"/>
                <w:i/>
                <w:iCs/>
                <w:color w:val="000000" w:themeColor="text1"/>
                <w:lang w:val="ro-MD"/>
              </w:rPr>
            </w:pPr>
            <w:bookmarkStart w:id="5" w:name="_Hlk223694318"/>
            <w:r w:rsidRPr="007E64D8">
              <w:rPr>
                <w:rFonts w:ascii="Times New Roman" w:hAnsi="Times New Roman" w:cs="Times New Roman"/>
                <w:color w:val="000000" w:themeColor="text1"/>
                <w:lang w:val="ro-MD"/>
              </w:rPr>
              <w:t>CAPITOLUL 1</w:t>
            </w:r>
            <w:r>
              <w:rPr>
                <w:rFonts w:ascii="Times New Roman" w:hAnsi="Times New Roman" w:cs="Times New Roman"/>
                <w:i/>
                <w:iCs/>
                <w:color w:val="000000" w:themeColor="text1"/>
                <w:lang w:val="ro-MD"/>
              </w:rPr>
              <w:t xml:space="preserve"> </w:t>
            </w:r>
            <w:r w:rsidRPr="001B0475">
              <w:rPr>
                <w:rFonts w:ascii="Times New Roman" w:hAnsi="Times New Roman" w:cs="Times New Roman"/>
                <w:b/>
                <w:bCs/>
                <w:color w:val="000000" w:themeColor="text1"/>
                <w:lang w:val="ro-MD"/>
              </w:rPr>
              <w:t>Încadrarea factorilor de risc</w:t>
            </w:r>
          </w:p>
        </w:tc>
        <w:tc>
          <w:tcPr>
            <w:tcW w:w="1692" w:type="pct"/>
          </w:tcPr>
          <w:p w14:paraId="79E41172" w14:textId="6B29B305" w:rsidR="007E64D8" w:rsidRPr="00C25E6D" w:rsidRDefault="00404045" w:rsidP="007E64D8">
            <w:pPr>
              <w:spacing w:line="276" w:lineRule="auto"/>
              <w:rPr>
                <w:rFonts w:ascii="Times New Roman" w:hAnsi="Times New Roman" w:cs="Times New Roman"/>
                <w:b/>
                <w:color w:val="000000" w:themeColor="text1"/>
                <w:lang w:val="ro-MD"/>
              </w:rPr>
            </w:pPr>
            <w:bookmarkStart w:id="6" w:name="_Hlk223694341"/>
            <w:r>
              <w:rPr>
                <w:rFonts w:ascii="Times New Roman" w:hAnsi="Times New Roman" w:cs="Times New Roman"/>
                <w:color w:val="000000" w:themeColor="text1"/>
                <w:lang w:val="ro-MD"/>
              </w:rPr>
              <w:t>Secțiunea</w:t>
            </w:r>
            <w:r w:rsidRPr="007E64D8">
              <w:rPr>
                <w:rFonts w:ascii="Times New Roman" w:hAnsi="Times New Roman" w:cs="Times New Roman"/>
                <w:color w:val="000000" w:themeColor="text1"/>
                <w:lang w:val="ro-MD"/>
              </w:rPr>
              <w:t xml:space="preserve"> </w:t>
            </w:r>
            <w:r w:rsidR="007E64D8" w:rsidRPr="007E64D8">
              <w:rPr>
                <w:rFonts w:ascii="Times New Roman" w:hAnsi="Times New Roman" w:cs="Times New Roman"/>
                <w:color w:val="000000" w:themeColor="text1"/>
                <w:lang w:val="ro-MD"/>
              </w:rPr>
              <w:t>1</w:t>
            </w:r>
            <w:r>
              <w:rPr>
                <w:rFonts w:ascii="Times New Roman" w:hAnsi="Times New Roman" w:cs="Times New Roman"/>
                <w:color w:val="000000" w:themeColor="text1"/>
                <w:lang w:val="ro-MD"/>
              </w:rPr>
              <w:t>.</w:t>
            </w:r>
            <w:r w:rsidR="007E64D8">
              <w:rPr>
                <w:rFonts w:ascii="Times New Roman" w:hAnsi="Times New Roman" w:cs="Times New Roman"/>
                <w:i/>
                <w:iCs/>
                <w:color w:val="000000" w:themeColor="text1"/>
                <w:lang w:val="ro-MD"/>
              </w:rPr>
              <w:t xml:space="preserve"> </w:t>
            </w:r>
            <w:r w:rsidR="007E64D8" w:rsidRPr="001B0475">
              <w:rPr>
                <w:rFonts w:ascii="Times New Roman" w:hAnsi="Times New Roman" w:cs="Times New Roman"/>
                <w:b/>
                <w:bCs/>
                <w:color w:val="000000" w:themeColor="text1"/>
                <w:lang w:val="ro-MD"/>
              </w:rPr>
              <w:t>Încadrarea factorilor de risc</w:t>
            </w:r>
            <w:bookmarkEnd w:id="6"/>
          </w:p>
        </w:tc>
        <w:tc>
          <w:tcPr>
            <w:tcW w:w="450" w:type="pct"/>
          </w:tcPr>
          <w:p w14:paraId="3D7E36C7" w14:textId="77777777" w:rsidR="007E64D8" w:rsidRPr="00C25E6D" w:rsidRDefault="007E64D8" w:rsidP="007E64D8">
            <w:pPr>
              <w:spacing w:line="276" w:lineRule="auto"/>
              <w:rPr>
                <w:rFonts w:ascii="Times New Roman" w:hAnsi="Times New Roman" w:cs="Times New Roman"/>
                <w:color w:val="000000" w:themeColor="text1"/>
                <w:lang w:val="ro-MD"/>
              </w:rPr>
            </w:pPr>
          </w:p>
        </w:tc>
        <w:tc>
          <w:tcPr>
            <w:tcW w:w="1261" w:type="pct"/>
          </w:tcPr>
          <w:p w14:paraId="2E084D95" w14:textId="77777777" w:rsidR="007E64D8" w:rsidRPr="00C25E6D" w:rsidRDefault="007E64D8" w:rsidP="007E64D8">
            <w:pPr>
              <w:spacing w:line="276" w:lineRule="auto"/>
              <w:rPr>
                <w:rFonts w:ascii="Times New Roman" w:hAnsi="Times New Roman" w:cs="Times New Roman"/>
                <w:color w:val="000000" w:themeColor="text1"/>
                <w:lang w:val="ro-MD"/>
              </w:rPr>
            </w:pPr>
          </w:p>
        </w:tc>
      </w:tr>
      <w:tr w:rsidR="007E64D8" w:rsidRPr="001B0475" w14:paraId="7E88D8CB"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77FD0A8B" w14:textId="6E182398" w:rsidR="007E64D8" w:rsidRPr="00C25E6D" w:rsidRDefault="007E64D8" w:rsidP="007E64D8">
            <w:pPr>
              <w:spacing w:line="276" w:lineRule="auto"/>
              <w:rPr>
                <w:rFonts w:ascii="Times New Roman" w:hAnsi="Times New Roman" w:cs="Times New Roman"/>
                <w:b/>
                <w:bCs/>
                <w:color w:val="000000" w:themeColor="text1"/>
                <w:lang w:val="ro-MD"/>
              </w:rPr>
            </w:pPr>
            <w:r w:rsidRPr="001B0475">
              <w:rPr>
                <w:rFonts w:ascii="Times New Roman" w:hAnsi="Times New Roman" w:cs="Times New Roman"/>
                <w:color w:val="000000" w:themeColor="text1"/>
                <w:lang w:val="ro-MD"/>
              </w:rPr>
              <w:t>Articolul 1</w:t>
            </w:r>
            <w:r>
              <w:rPr>
                <w:rFonts w:ascii="Times New Roman" w:hAnsi="Times New Roman" w:cs="Times New Roman"/>
                <w:b/>
                <w:bCs/>
                <w:color w:val="000000" w:themeColor="text1"/>
                <w:lang w:val="ro-MD"/>
              </w:rPr>
              <w:t xml:space="preserve"> </w:t>
            </w:r>
            <w:r w:rsidRPr="001B0475">
              <w:rPr>
                <w:rFonts w:ascii="Times New Roman" w:hAnsi="Times New Roman" w:cs="Times New Roman"/>
                <w:b/>
                <w:bCs/>
                <w:color w:val="000000" w:themeColor="text1"/>
                <w:lang w:val="ro-MD"/>
              </w:rPr>
              <w:t>Metodologia generală</w:t>
            </w:r>
          </w:p>
        </w:tc>
        <w:tc>
          <w:tcPr>
            <w:tcW w:w="1692" w:type="pct"/>
          </w:tcPr>
          <w:p w14:paraId="418A629E" w14:textId="39C5B4D0" w:rsidR="007E64D8" w:rsidRPr="00C25E6D" w:rsidRDefault="00404045" w:rsidP="007E64D8">
            <w:pPr>
              <w:spacing w:line="276" w:lineRule="auto"/>
              <w:rPr>
                <w:rFonts w:ascii="Times New Roman" w:hAnsi="Times New Roman" w:cs="Times New Roman"/>
                <w:b/>
                <w:color w:val="000000" w:themeColor="text1"/>
                <w:lang w:val="ro-MD"/>
              </w:rPr>
            </w:pPr>
            <w:bookmarkStart w:id="7" w:name="_Hlk223694357"/>
            <w:r>
              <w:rPr>
                <w:rFonts w:ascii="Times New Roman" w:hAnsi="Times New Roman" w:cs="Times New Roman"/>
                <w:color w:val="000000" w:themeColor="text1"/>
                <w:lang w:val="ro-MD"/>
              </w:rPr>
              <w:t>Subsecțiunea 1.</w:t>
            </w:r>
            <w:r w:rsidR="007E64D8">
              <w:rPr>
                <w:rFonts w:ascii="Times New Roman" w:hAnsi="Times New Roman" w:cs="Times New Roman"/>
                <w:b/>
                <w:bCs/>
                <w:color w:val="000000" w:themeColor="text1"/>
                <w:lang w:val="ro-MD"/>
              </w:rPr>
              <w:t xml:space="preserve"> </w:t>
            </w:r>
            <w:r w:rsidR="007E64D8" w:rsidRPr="001B0475">
              <w:rPr>
                <w:rFonts w:ascii="Times New Roman" w:hAnsi="Times New Roman" w:cs="Times New Roman"/>
                <w:b/>
                <w:bCs/>
                <w:color w:val="000000" w:themeColor="text1"/>
                <w:lang w:val="ro-MD"/>
              </w:rPr>
              <w:t>Metodologia generală</w:t>
            </w:r>
            <w:bookmarkEnd w:id="7"/>
          </w:p>
        </w:tc>
        <w:tc>
          <w:tcPr>
            <w:tcW w:w="450" w:type="pct"/>
          </w:tcPr>
          <w:p w14:paraId="74F6256E" w14:textId="77777777" w:rsidR="007E64D8" w:rsidRPr="00C25E6D" w:rsidRDefault="007E64D8" w:rsidP="007E64D8">
            <w:pPr>
              <w:spacing w:line="276" w:lineRule="auto"/>
              <w:rPr>
                <w:rFonts w:ascii="Times New Roman" w:hAnsi="Times New Roman" w:cs="Times New Roman"/>
                <w:color w:val="000000" w:themeColor="text1"/>
                <w:lang w:val="ro-MD"/>
              </w:rPr>
            </w:pPr>
          </w:p>
        </w:tc>
        <w:tc>
          <w:tcPr>
            <w:tcW w:w="1261" w:type="pct"/>
          </w:tcPr>
          <w:p w14:paraId="2206EB98" w14:textId="77777777" w:rsidR="007E64D8" w:rsidRPr="00C25E6D" w:rsidRDefault="007E64D8" w:rsidP="007E64D8">
            <w:pPr>
              <w:spacing w:line="276" w:lineRule="auto"/>
              <w:rPr>
                <w:rFonts w:ascii="Times New Roman" w:hAnsi="Times New Roman" w:cs="Times New Roman"/>
                <w:color w:val="000000" w:themeColor="text1"/>
                <w:lang w:val="ro-MD"/>
              </w:rPr>
            </w:pPr>
          </w:p>
        </w:tc>
      </w:tr>
      <w:tr w:rsidR="00B759E3" w:rsidRPr="001E1943" w14:paraId="2EDDFB15" w14:textId="77777777" w:rsidTr="00E41D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1"/>
        </w:trPr>
        <w:tc>
          <w:tcPr>
            <w:tcW w:w="1597" w:type="pct"/>
          </w:tcPr>
          <w:p w14:paraId="293832A8" w14:textId="0B4DA38B" w:rsidR="00B759E3" w:rsidRDefault="00B759E3" w:rsidP="007E64D8">
            <w:pPr>
              <w:autoSpaceDE w:val="0"/>
              <w:autoSpaceDN w:val="0"/>
              <w:adjustRightInd w:val="0"/>
              <w:spacing w:after="0" w:line="240" w:lineRule="auto"/>
              <w:jc w:val="both"/>
              <w:rPr>
                <w:rFonts w:ascii="Times New Roman" w:hAnsi="Times New Roman" w:cs="Times New Roman"/>
                <w:lang w:val="ro-MD"/>
                <w14:ligatures w14:val="standardContextual"/>
              </w:rPr>
            </w:pPr>
            <w:r w:rsidRPr="001B0475">
              <w:rPr>
                <w:rFonts w:ascii="Times New Roman" w:hAnsi="Times New Roman" w:cs="Times New Roman"/>
                <w:lang w:val="ro-MD"/>
                <w14:ligatures w14:val="standardContextual"/>
              </w:rPr>
              <w:t>(1) La încadrarea factorilor de risc în categoriile generale de factori de risc menționate în tabelul 2 de la articolul 325bd</w:t>
            </w:r>
            <w:r>
              <w:rPr>
                <w:rFonts w:ascii="Times New Roman" w:hAnsi="Times New Roman" w:cs="Times New Roman"/>
                <w:lang w:val="ro-MD"/>
                <w14:ligatures w14:val="standardContextual"/>
              </w:rPr>
              <w:t xml:space="preserve"> </w:t>
            </w:r>
            <w:r w:rsidRPr="001B0475">
              <w:rPr>
                <w:rFonts w:ascii="Times New Roman" w:hAnsi="Times New Roman" w:cs="Times New Roman"/>
                <w:lang w:val="ro-MD"/>
                <w14:ligatures w14:val="standardContextual"/>
              </w:rPr>
              <w:t>din Regulamentul (UE) nr. 575/2013, instituțiile încadrează fiecare factor de risc în cea mai adecvată categorie generală de</w:t>
            </w:r>
            <w:r>
              <w:rPr>
                <w:rFonts w:ascii="Times New Roman" w:hAnsi="Times New Roman" w:cs="Times New Roman"/>
                <w:lang w:val="ro-MD"/>
                <w14:ligatures w14:val="standardContextual"/>
              </w:rPr>
              <w:t xml:space="preserve"> </w:t>
            </w:r>
            <w:r w:rsidRPr="001B0475">
              <w:rPr>
                <w:rFonts w:ascii="Times New Roman" w:hAnsi="Times New Roman" w:cs="Times New Roman"/>
                <w:lang w:val="ro-MD"/>
                <w14:ligatures w14:val="standardContextual"/>
              </w:rPr>
              <w:t>factori de risc, având în vedere natura riscului reflectat de factorul de risc și datele de intrare utilizate pentru factorul de risc</w:t>
            </w:r>
            <w:r>
              <w:rPr>
                <w:rFonts w:ascii="Times New Roman" w:hAnsi="Times New Roman" w:cs="Times New Roman"/>
                <w:lang w:val="ro-MD"/>
                <w14:ligatures w14:val="standardContextual"/>
              </w:rPr>
              <w:t xml:space="preserve"> </w:t>
            </w:r>
            <w:r w:rsidRPr="001B0475">
              <w:rPr>
                <w:rFonts w:ascii="Times New Roman" w:hAnsi="Times New Roman" w:cs="Times New Roman"/>
                <w:lang w:val="ro-MD"/>
                <w14:ligatures w14:val="standardContextual"/>
              </w:rPr>
              <w:t>în modelul de măsurare a riscului.</w:t>
            </w:r>
          </w:p>
          <w:p w14:paraId="082F548F" w14:textId="40B2604B" w:rsidR="00B759E3" w:rsidRPr="001B0475" w:rsidRDefault="00B759E3" w:rsidP="007E64D8">
            <w:pPr>
              <w:autoSpaceDE w:val="0"/>
              <w:autoSpaceDN w:val="0"/>
              <w:adjustRightInd w:val="0"/>
              <w:spacing w:after="0" w:line="240" w:lineRule="auto"/>
              <w:jc w:val="both"/>
              <w:rPr>
                <w:rFonts w:ascii="Times New Roman" w:hAnsi="Times New Roman" w:cs="Times New Roman"/>
                <w:lang w:val="ro-MD"/>
                <w14:ligatures w14:val="standardContextual"/>
              </w:rPr>
            </w:pPr>
            <w:r w:rsidRPr="001B0475">
              <w:rPr>
                <w:rFonts w:ascii="Times New Roman" w:hAnsi="Times New Roman" w:cs="Times New Roman"/>
                <w:lang w:val="ro-MD"/>
                <w14:ligatures w14:val="standardContextual"/>
              </w:rPr>
              <w:t>La încadrarea factorilor de risc în subcategoriile generale de factori de risc ale categoriilor generale de factori de risc</w:t>
            </w:r>
            <w:r>
              <w:rPr>
                <w:rFonts w:ascii="Times New Roman" w:hAnsi="Times New Roman" w:cs="Times New Roman"/>
                <w:lang w:val="ro-MD"/>
                <w14:ligatures w14:val="standardContextual"/>
              </w:rPr>
              <w:t xml:space="preserve"> </w:t>
            </w:r>
            <w:r w:rsidRPr="001B0475">
              <w:rPr>
                <w:rFonts w:ascii="Times New Roman" w:hAnsi="Times New Roman" w:cs="Times New Roman"/>
                <w:lang w:val="ro-MD"/>
                <w14:ligatures w14:val="standardContextual"/>
              </w:rPr>
              <w:t>menționate în tabelul respectiv, instituțiile încadrează fiecare factor de risc în cea mai adecvată subcategorie generală de</w:t>
            </w:r>
            <w:r>
              <w:rPr>
                <w:rFonts w:ascii="Times New Roman" w:hAnsi="Times New Roman" w:cs="Times New Roman"/>
                <w:lang w:val="ro-MD"/>
                <w14:ligatures w14:val="standardContextual"/>
              </w:rPr>
              <w:t xml:space="preserve"> </w:t>
            </w:r>
            <w:r w:rsidRPr="001B0475">
              <w:rPr>
                <w:rFonts w:ascii="Times New Roman" w:hAnsi="Times New Roman" w:cs="Times New Roman"/>
                <w:lang w:val="ro-MD"/>
                <w14:ligatures w14:val="standardContextual"/>
              </w:rPr>
              <w:t>factori de risc a categoriei generale de factori de risc în cauză, având în vedere natura riscului reflectat de factorul de risc și</w:t>
            </w:r>
            <w:r>
              <w:rPr>
                <w:rFonts w:ascii="Times New Roman" w:hAnsi="Times New Roman" w:cs="Times New Roman"/>
                <w:lang w:val="ro-MD"/>
                <w14:ligatures w14:val="standardContextual"/>
              </w:rPr>
              <w:t xml:space="preserve"> </w:t>
            </w:r>
            <w:r w:rsidRPr="001B0475">
              <w:rPr>
                <w:rFonts w:ascii="Times New Roman" w:hAnsi="Times New Roman" w:cs="Times New Roman"/>
                <w:lang w:val="ro-MD"/>
                <w14:ligatures w14:val="standardContextual"/>
              </w:rPr>
              <w:t>datele de intrare utilizate pentru factorul de risc în modelul de măsurare a riscului.</w:t>
            </w:r>
          </w:p>
        </w:tc>
        <w:tc>
          <w:tcPr>
            <w:tcW w:w="1692" w:type="pct"/>
          </w:tcPr>
          <w:p w14:paraId="634E0774" w14:textId="457E3226" w:rsidR="00B759E3" w:rsidRPr="007E64D8" w:rsidRDefault="00B759E3" w:rsidP="007E64D8">
            <w:pPr>
              <w:autoSpaceDE w:val="0"/>
              <w:autoSpaceDN w:val="0"/>
              <w:adjustRightInd w:val="0"/>
              <w:spacing w:after="0" w:line="240" w:lineRule="auto"/>
              <w:jc w:val="both"/>
              <w:rPr>
                <w:rFonts w:ascii="Times New Roman" w:hAnsi="Times New Roman" w:cs="Times New Roman"/>
                <w:lang w:val="ro-MD"/>
                <w14:ligatures w14:val="standardContextual"/>
              </w:rPr>
            </w:pPr>
            <w:bookmarkStart w:id="8" w:name="_Hlk223694377"/>
            <w:r>
              <w:rPr>
                <w:rFonts w:ascii="Times New Roman" w:hAnsi="Times New Roman" w:cs="Times New Roman"/>
                <w:lang w:val="ro-MD"/>
                <w14:ligatures w14:val="standardContextual"/>
              </w:rPr>
              <w:t>1.</w:t>
            </w:r>
            <w:r w:rsidRPr="001B0475">
              <w:rPr>
                <w:rFonts w:ascii="Times New Roman" w:hAnsi="Times New Roman" w:cs="Times New Roman"/>
                <w:lang w:val="ro-MD"/>
                <w14:ligatures w14:val="standardContextual"/>
              </w:rPr>
              <w:t xml:space="preserve"> La încadrarea factorilor de risc în categoriile generale de factori de risc menționate în tabelul 2 de la </w:t>
            </w:r>
            <w:r w:rsidR="001E1943">
              <w:rPr>
                <w:rFonts w:ascii="Times New Roman" w:hAnsi="Times New Roman" w:cs="Times New Roman"/>
                <w:lang w:val="ro-MD"/>
                <w14:ligatures w14:val="standardContextual"/>
              </w:rPr>
              <w:t xml:space="preserve">pct.361 din Regulamentul </w:t>
            </w:r>
            <w:r w:rsidR="001E1943" w:rsidRPr="001E1943">
              <w:rPr>
                <w:rFonts w:ascii="Times New Roman" w:hAnsi="Times New Roman" w:cs="Times New Roman"/>
                <w:lang w:val="ro-MD"/>
                <w14:ligatures w14:val="standardContextual"/>
              </w:rPr>
              <w:t>privind cerințe de fonduri proprii pentru riscul de piață</w:t>
            </w:r>
            <w:r w:rsidRPr="001B0475">
              <w:rPr>
                <w:rFonts w:ascii="Times New Roman" w:hAnsi="Times New Roman" w:cs="Times New Roman"/>
                <w:lang w:val="ro-MD"/>
                <w14:ligatures w14:val="standardContextual"/>
              </w:rPr>
              <w:t xml:space="preserve">, </w:t>
            </w:r>
            <w:r w:rsidR="001E1943">
              <w:rPr>
                <w:rFonts w:ascii="Times New Roman" w:hAnsi="Times New Roman" w:cs="Times New Roman"/>
                <w:lang w:val="ro-MD"/>
                <w14:ligatures w14:val="standardContextual"/>
              </w:rPr>
              <w:t>băncile</w:t>
            </w:r>
            <w:r w:rsidR="001E1943" w:rsidRPr="001B0475">
              <w:rPr>
                <w:rFonts w:ascii="Times New Roman" w:hAnsi="Times New Roman" w:cs="Times New Roman"/>
                <w:lang w:val="ro-MD"/>
                <w14:ligatures w14:val="standardContextual"/>
              </w:rPr>
              <w:t xml:space="preserve"> </w:t>
            </w:r>
            <w:r w:rsidRPr="001B0475">
              <w:rPr>
                <w:rFonts w:ascii="Times New Roman" w:hAnsi="Times New Roman" w:cs="Times New Roman"/>
                <w:lang w:val="ro-MD"/>
                <w14:ligatures w14:val="standardContextual"/>
              </w:rPr>
              <w:t>încadrează fiecare factor de risc în cea mai adecvată categorie generală de</w:t>
            </w:r>
            <w:r>
              <w:rPr>
                <w:rFonts w:ascii="Times New Roman" w:hAnsi="Times New Roman" w:cs="Times New Roman"/>
                <w:lang w:val="ro-MD"/>
                <w14:ligatures w14:val="standardContextual"/>
              </w:rPr>
              <w:t xml:space="preserve"> </w:t>
            </w:r>
            <w:r w:rsidRPr="001B0475">
              <w:rPr>
                <w:rFonts w:ascii="Times New Roman" w:hAnsi="Times New Roman" w:cs="Times New Roman"/>
                <w:lang w:val="ro-MD"/>
                <w14:ligatures w14:val="standardContextual"/>
              </w:rPr>
              <w:t>factori de risc, având în vedere natura riscului reflectat de factorul de risc și datele de intrare utilizate pentru factorul de risc</w:t>
            </w:r>
            <w:r>
              <w:rPr>
                <w:rFonts w:ascii="Times New Roman" w:hAnsi="Times New Roman" w:cs="Times New Roman"/>
                <w:lang w:val="ro-MD"/>
                <w14:ligatures w14:val="standardContextual"/>
              </w:rPr>
              <w:t xml:space="preserve"> </w:t>
            </w:r>
            <w:r w:rsidRPr="001B0475">
              <w:rPr>
                <w:rFonts w:ascii="Times New Roman" w:hAnsi="Times New Roman" w:cs="Times New Roman"/>
                <w:lang w:val="ro-MD"/>
                <w14:ligatures w14:val="standardContextual"/>
              </w:rPr>
              <w:t>în modelul de măsurare a riscului.</w:t>
            </w:r>
          </w:p>
          <w:p w14:paraId="1ACBA414" w14:textId="1556C2AF" w:rsidR="00B759E3" w:rsidRPr="007E64D8" w:rsidRDefault="001E1943" w:rsidP="007E64D8">
            <w:pPr>
              <w:autoSpaceDE w:val="0"/>
              <w:autoSpaceDN w:val="0"/>
              <w:adjustRightInd w:val="0"/>
              <w:spacing w:after="0" w:line="240" w:lineRule="auto"/>
              <w:jc w:val="both"/>
              <w:rPr>
                <w:rFonts w:ascii="Times New Roman" w:hAnsi="Times New Roman" w:cs="Times New Roman"/>
                <w:lang w:val="ro-MD"/>
                <w14:ligatures w14:val="standardContextual"/>
              </w:rPr>
            </w:pPr>
            <w:r>
              <w:rPr>
                <w:rFonts w:ascii="Times New Roman" w:hAnsi="Times New Roman" w:cs="Times New Roman"/>
                <w:lang w:val="ro-MD"/>
                <w14:ligatures w14:val="standardContextual"/>
              </w:rPr>
              <w:t xml:space="preserve">2. </w:t>
            </w:r>
            <w:r w:rsidR="00B759E3" w:rsidRPr="001B0475">
              <w:rPr>
                <w:rFonts w:ascii="Times New Roman" w:hAnsi="Times New Roman" w:cs="Times New Roman"/>
                <w:lang w:val="ro-MD"/>
                <w14:ligatures w14:val="standardContextual"/>
              </w:rPr>
              <w:t>La încadrarea factorilor de risc în subcategoriile generale de factori de risc ale categoriilor generale de factori de risc</w:t>
            </w:r>
            <w:r w:rsidR="00B759E3">
              <w:rPr>
                <w:rFonts w:ascii="Times New Roman" w:hAnsi="Times New Roman" w:cs="Times New Roman"/>
                <w:lang w:val="ro-MD"/>
                <w14:ligatures w14:val="standardContextual"/>
              </w:rPr>
              <w:t xml:space="preserve"> </w:t>
            </w:r>
            <w:r w:rsidR="00B759E3" w:rsidRPr="001B0475">
              <w:rPr>
                <w:rFonts w:ascii="Times New Roman" w:hAnsi="Times New Roman" w:cs="Times New Roman"/>
                <w:lang w:val="ro-MD"/>
                <w14:ligatures w14:val="standardContextual"/>
              </w:rPr>
              <w:t xml:space="preserve">menționate în tabelul respectiv, </w:t>
            </w:r>
            <w:r>
              <w:rPr>
                <w:rFonts w:ascii="Times New Roman" w:hAnsi="Times New Roman" w:cs="Times New Roman"/>
                <w:lang w:val="ro-MD"/>
                <w14:ligatures w14:val="standardContextual"/>
              </w:rPr>
              <w:t>băncile</w:t>
            </w:r>
            <w:r w:rsidRPr="001B0475">
              <w:rPr>
                <w:rFonts w:ascii="Times New Roman" w:hAnsi="Times New Roman" w:cs="Times New Roman"/>
                <w:lang w:val="ro-MD"/>
                <w14:ligatures w14:val="standardContextual"/>
              </w:rPr>
              <w:t xml:space="preserve"> </w:t>
            </w:r>
            <w:r w:rsidR="00B759E3" w:rsidRPr="001B0475">
              <w:rPr>
                <w:rFonts w:ascii="Times New Roman" w:hAnsi="Times New Roman" w:cs="Times New Roman"/>
                <w:lang w:val="ro-MD"/>
                <w14:ligatures w14:val="standardContextual"/>
              </w:rPr>
              <w:t>încadrează fiecare factor de risc în cea mai adecvată subcategorie generală de</w:t>
            </w:r>
            <w:r w:rsidR="00B759E3">
              <w:rPr>
                <w:rFonts w:ascii="Times New Roman" w:hAnsi="Times New Roman" w:cs="Times New Roman"/>
                <w:lang w:val="ro-MD"/>
                <w14:ligatures w14:val="standardContextual"/>
              </w:rPr>
              <w:t xml:space="preserve"> </w:t>
            </w:r>
            <w:r w:rsidR="00B759E3" w:rsidRPr="001B0475">
              <w:rPr>
                <w:rFonts w:ascii="Times New Roman" w:hAnsi="Times New Roman" w:cs="Times New Roman"/>
                <w:lang w:val="ro-MD"/>
                <w14:ligatures w14:val="standardContextual"/>
              </w:rPr>
              <w:t>factori de risc a categoriei generale de factori de risc în cauză, având în vedere natura riscului reflectat de factorul de risc și</w:t>
            </w:r>
            <w:r w:rsidR="00B759E3">
              <w:rPr>
                <w:rFonts w:ascii="Times New Roman" w:hAnsi="Times New Roman" w:cs="Times New Roman"/>
                <w:lang w:val="ro-MD"/>
                <w14:ligatures w14:val="standardContextual"/>
              </w:rPr>
              <w:t xml:space="preserve"> </w:t>
            </w:r>
            <w:r w:rsidR="00B759E3" w:rsidRPr="001B0475">
              <w:rPr>
                <w:rFonts w:ascii="Times New Roman" w:hAnsi="Times New Roman" w:cs="Times New Roman"/>
                <w:lang w:val="ro-MD"/>
                <w14:ligatures w14:val="standardContextual"/>
              </w:rPr>
              <w:t>datele de intrare utilizate pentru factorul de risc în modelul de măsurare a riscului.</w:t>
            </w:r>
            <w:bookmarkEnd w:id="8"/>
          </w:p>
        </w:tc>
        <w:tc>
          <w:tcPr>
            <w:tcW w:w="450" w:type="pct"/>
          </w:tcPr>
          <w:p w14:paraId="11625A9A" w14:textId="3EF1F75F" w:rsidR="00B759E3" w:rsidRPr="00C25E6D" w:rsidRDefault="00235B11" w:rsidP="007E64D8">
            <w:pPr>
              <w:spacing w:line="276" w:lineRule="auto"/>
              <w:rPr>
                <w:rFonts w:ascii="Times New Roman" w:hAnsi="Times New Roman" w:cs="Times New Roman"/>
                <w:color w:val="000000" w:themeColor="text1"/>
                <w:lang w:val="ro-MD"/>
              </w:rPr>
            </w:pPr>
            <w:r>
              <w:rPr>
                <w:rFonts w:ascii="Times New Roman" w:hAnsi="Times New Roman" w:cs="Times New Roman"/>
                <w:color w:val="000000" w:themeColor="text1"/>
                <w:lang w:val="ro-MD"/>
              </w:rPr>
              <w:t>compatibil</w:t>
            </w:r>
          </w:p>
        </w:tc>
        <w:tc>
          <w:tcPr>
            <w:tcW w:w="1261" w:type="pct"/>
          </w:tcPr>
          <w:p w14:paraId="053A766E" w14:textId="77777777" w:rsidR="00B759E3" w:rsidRPr="00C25E6D" w:rsidRDefault="00B759E3" w:rsidP="007E64D8">
            <w:pPr>
              <w:spacing w:line="276" w:lineRule="auto"/>
              <w:rPr>
                <w:rFonts w:ascii="Times New Roman" w:hAnsi="Times New Roman" w:cs="Times New Roman"/>
                <w:color w:val="000000" w:themeColor="text1"/>
                <w:lang w:val="ro-MD"/>
              </w:rPr>
            </w:pPr>
          </w:p>
        </w:tc>
      </w:tr>
      <w:bookmarkEnd w:id="5"/>
      <w:tr w:rsidR="007E64D8" w:rsidRPr="001E1943" w14:paraId="25DF7A2B"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45EA89DD" w14:textId="633DB7A1" w:rsidR="007E64D8" w:rsidRPr="001B0475" w:rsidRDefault="007E64D8" w:rsidP="007E64D8">
            <w:pPr>
              <w:spacing w:line="276" w:lineRule="auto"/>
              <w:jc w:val="both"/>
              <w:rPr>
                <w:rFonts w:ascii="Times New Roman" w:hAnsi="Times New Roman" w:cs="Times New Roman"/>
                <w:color w:val="000000" w:themeColor="text1"/>
                <w:lang w:val="ro-MD"/>
              </w:rPr>
            </w:pPr>
            <w:r w:rsidRPr="001B0475">
              <w:rPr>
                <w:rFonts w:ascii="Times New Roman" w:hAnsi="Times New Roman" w:cs="Times New Roman"/>
                <w:color w:val="000000" w:themeColor="text1"/>
                <w:lang w:val="ro-MD"/>
              </w:rPr>
              <w:t>(2) În sensul alineatului (1), în cazul în care natura factorului de risc nu corespunde niciunei categorii generale de factori</w:t>
            </w:r>
            <w:r>
              <w:rPr>
                <w:rFonts w:ascii="Times New Roman" w:hAnsi="Times New Roman" w:cs="Times New Roman"/>
                <w:color w:val="000000" w:themeColor="text1"/>
                <w:lang w:val="ro-MD"/>
              </w:rPr>
              <w:t xml:space="preserve"> </w:t>
            </w:r>
            <w:r w:rsidRPr="001B0475">
              <w:rPr>
                <w:rFonts w:ascii="Times New Roman" w:hAnsi="Times New Roman" w:cs="Times New Roman"/>
                <w:color w:val="000000" w:themeColor="text1"/>
                <w:lang w:val="ro-MD"/>
              </w:rPr>
              <w:t xml:space="preserve">de risc menționate în tabelul 2 de la articolul 325bd din Regulamentul (UE) nr. 575/2013, </w:t>
            </w:r>
            <w:r w:rsidRPr="001B0475">
              <w:rPr>
                <w:rFonts w:ascii="Times New Roman" w:hAnsi="Times New Roman" w:cs="Times New Roman"/>
                <w:color w:val="000000" w:themeColor="text1"/>
                <w:lang w:val="ro-MD"/>
              </w:rPr>
              <w:lastRenderedPageBreak/>
              <w:t>instituțiile încadrează factorul de</w:t>
            </w:r>
            <w:r>
              <w:rPr>
                <w:rFonts w:ascii="Times New Roman" w:hAnsi="Times New Roman" w:cs="Times New Roman"/>
                <w:color w:val="000000" w:themeColor="text1"/>
                <w:lang w:val="ro-MD"/>
              </w:rPr>
              <w:t xml:space="preserve"> </w:t>
            </w:r>
            <w:r w:rsidRPr="001B0475">
              <w:rPr>
                <w:rFonts w:ascii="Times New Roman" w:hAnsi="Times New Roman" w:cs="Times New Roman"/>
                <w:color w:val="000000" w:themeColor="text1"/>
                <w:lang w:val="ro-MD"/>
              </w:rPr>
              <w:t>risc respectiv în categoria generală de factori de risc „Marfă” din tabel și în subcategoria generală de factori de risc „Alte</w:t>
            </w:r>
            <w:r>
              <w:rPr>
                <w:rFonts w:ascii="Times New Roman" w:hAnsi="Times New Roman" w:cs="Times New Roman"/>
                <w:color w:val="000000" w:themeColor="text1"/>
                <w:lang w:val="ro-MD"/>
              </w:rPr>
              <w:t xml:space="preserve"> </w:t>
            </w:r>
            <w:r w:rsidRPr="001B0475">
              <w:rPr>
                <w:rFonts w:ascii="Times New Roman" w:hAnsi="Times New Roman" w:cs="Times New Roman"/>
                <w:color w:val="000000" w:themeColor="text1"/>
                <w:lang w:val="ro-MD"/>
              </w:rPr>
              <w:t>tipuri” a categoriei respective.</w:t>
            </w:r>
          </w:p>
        </w:tc>
        <w:tc>
          <w:tcPr>
            <w:tcW w:w="1692" w:type="pct"/>
          </w:tcPr>
          <w:p w14:paraId="51B7B615" w14:textId="20428790" w:rsidR="007E64D8" w:rsidRPr="00C25E6D" w:rsidRDefault="001E1943" w:rsidP="007E64D8">
            <w:pPr>
              <w:spacing w:line="276" w:lineRule="auto"/>
              <w:jc w:val="both"/>
              <w:rPr>
                <w:rFonts w:ascii="Times New Roman" w:hAnsi="Times New Roman" w:cs="Times New Roman"/>
                <w:b/>
                <w:color w:val="000000" w:themeColor="text1"/>
                <w:lang w:val="ro-MD"/>
              </w:rPr>
            </w:pPr>
            <w:bookmarkStart w:id="9" w:name="_Hlk223694405"/>
            <w:r>
              <w:rPr>
                <w:rFonts w:ascii="Times New Roman" w:hAnsi="Times New Roman" w:cs="Times New Roman"/>
                <w:color w:val="000000" w:themeColor="text1"/>
                <w:lang w:val="ro-MD"/>
              </w:rPr>
              <w:lastRenderedPageBreak/>
              <w:t>3.</w:t>
            </w:r>
            <w:r w:rsidR="007E64D8" w:rsidRPr="001B0475">
              <w:rPr>
                <w:rFonts w:ascii="Times New Roman" w:hAnsi="Times New Roman" w:cs="Times New Roman"/>
                <w:color w:val="000000" w:themeColor="text1"/>
                <w:lang w:val="ro-MD"/>
              </w:rPr>
              <w:t xml:space="preserve"> În sensul </w:t>
            </w:r>
            <w:r>
              <w:rPr>
                <w:rFonts w:ascii="Times New Roman" w:hAnsi="Times New Roman" w:cs="Times New Roman"/>
                <w:color w:val="000000" w:themeColor="text1"/>
                <w:lang w:val="ro-MD"/>
              </w:rPr>
              <w:t>pct.1-2</w:t>
            </w:r>
            <w:r w:rsidR="007E64D8" w:rsidRPr="001B0475">
              <w:rPr>
                <w:rFonts w:ascii="Times New Roman" w:hAnsi="Times New Roman" w:cs="Times New Roman"/>
                <w:color w:val="000000" w:themeColor="text1"/>
                <w:lang w:val="ro-MD"/>
              </w:rPr>
              <w:t>, în cazul în care natura factorului de risc nu corespunde niciunei categorii generale de factori</w:t>
            </w:r>
            <w:r w:rsidR="007E64D8">
              <w:rPr>
                <w:rFonts w:ascii="Times New Roman" w:hAnsi="Times New Roman" w:cs="Times New Roman"/>
                <w:color w:val="000000" w:themeColor="text1"/>
                <w:lang w:val="ro-MD"/>
              </w:rPr>
              <w:t xml:space="preserve"> </w:t>
            </w:r>
            <w:r w:rsidR="007E64D8" w:rsidRPr="001B0475">
              <w:rPr>
                <w:rFonts w:ascii="Times New Roman" w:hAnsi="Times New Roman" w:cs="Times New Roman"/>
                <w:color w:val="000000" w:themeColor="text1"/>
                <w:lang w:val="ro-MD"/>
              </w:rPr>
              <w:t xml:space="preserve">de risc menționate în tabelul 2 de la </w:t>
            </w:r>
            <w:r>
              <w:rPr>
                <w:rFonts w:ascii="Times New Roman" w:hAnsi="Times New Roman" w:cs="Times New Roman"/>
                <w:color w:val="000000" w:themeColor="text1"/>
                <w:lang w:val="ro-MD"/>
              </w:rPr>
              <w:t xml:space="preserve">pct.361 </w:t>
            </w:r>
            <w:r w:rsidR="007E64D8" w:rsidRPr="001B0475">
              <w:rPr>
                <w:rFonts w:ascii="Times New Roman" w:hAnsi="Times New Roman" w:cs="Times New Roman"/>
                <w:color w:val="000000" w:themeColor="text1"/>
                <w:lang w:val="ro-MD"/>
              </w:rPr>
              <w:t xml:space="preserve">din Regulamentul </w:t>
            </w:r>
            <w:r w:rsidRPr="001E1943">
              <w:rPr>
                <w:rFonts w:ascii="Times New Roman" w:hAnsi="Times New Roman" w:cs="Times New Roman"/>
                <w:color w:val="000000" w:themeColor="text1"/>
                <w:lang w:val="ro-MD"/>
              </w:rPr>
              <w:t>privind cerințe de fonduri proprii pentru riscul de piață</w:t>
            </w:r>
            <w:r w:rsidR="007E64D8" w:rsidRPr="001B0475">
              <w:rPr>
                <w:rFonts w:ascii="Times New Roman" w:hAnsi="Times New Roman" w:cs="Times New Roman"/>
                <w:color w:val="000000" w:themeColor="text1"/>
                <w:lang w:val="ro-MD"/>
              </w:rPr>
              <w:t xml:space="preserve">, </w:t>
            </w:r>
            <w:r>
              <w:rPr>
                <w:rFonts w:ascii="Times New Roman" w:hAnsi="Times New Roman" w:cs="Times New Roman"/>
                <w:color w:val="000000" w:themeColor="text1"/>
                <w:lang w:val="ro-MD"/>
              </w:rPr>
              <w:lastRenderedPageBreak/>
              <w:t>băncile</w:t>
            </w:r>
            <w:r w:rsidRPr="001B0475">
              <w:rPr>
                <w:rFonts w:ascii="Times New Roman" w:hAnsi="Times New Roman" w:cs="Times New Roman"/>
                <w:color w:val="000000" w:themeColor="text1"/>
                <w:lang w:val="ro-MD"/>
              </w:rPr>
              <w:t xml:space="preserve"> </w:t>
            </w:r>
            <w:r w:rsidR="007E64D8" w:rsidRPr="001B0475">
              <w:rPr>
                <w:rFonts w:ascii="Times New Roman" w:hAnsi="Times New Roman" w:cs="Times New Roman"/>
                <w:color w:val="000000" w:themeColor="text1"/>
                <w:lang w:val="ro-MD"/>
              </w:rPr>
              <w:t>încadrează factorul de</w:t>
            </w:r>
            <w:r w:rsidR="007E64D8">
              <w:rPr>
                <w:rFonts w:ascii="Times New Roman" w:hAnsi="Times New Roman" w:cs="Times New Roman"/>
                <w:color w:val="000000" w:themeColor="text1"/>
                <w:lang w:val="ro-MD"/>
              </w:rPr>
              <w:t xml:space="preserve"> </w:t>
            </w:r>
            <w:r w:rsidR="007E64D8" w:rsidRPr="001B0475">
              <w:rPr>
                <w:rFonts w:ascii="Times New Roman" w:hAnsi="Times New Roman" w:cs="Times New Roman"/>
                <w:color w:val="000000" w:themeColor="text1"/>
                <w:lang w:val="ro-MD"/>
              </w:rPr>
              <w:t>risc respectiv în categoria generală de factori de risc „Marfă” din tabel și în subcategoria generală de factori de risc „Alte</w:t>
            </w:r>
            <w:r w:rsidR="007E64D8">
              <w:rPr>
                <w:rFonts w:ascii="Times New Roman" w:hAnsi="Times New Roman" w:cs="Times New Roman"/>
                <w:color w:val="000000" w:themeColor="text1"/>
                <w:lang w:val="ro-MD"/>
              </w:rPr>
              <w:t xml:space="preserve"> </w:t>
            </w:r>
            <w:r w:rsidR="007E64D8" w:rsidRPr="001B0475">
              <w:rPr>
                <w:rFonts w:ascii="Times New Roman" w:hAnsi="Times New Roman" w:cs="Times New Roman"/>
                <w:color w:val="000000" w:themeColor="text1"/>
                <w:lang w:val="ro-MD"/>
              </w:rPr>
              <w:t>tipuri” a categoriei respective.</w:t>
            </w:r>
            <w:bookmarkEnd w:id="9"/>
          </w:p>
        </w:tc>
        <w:tc>
          <w:tcPr>
            <w:tcW w:w="450" w:type="pct"/>
          </w:tcPr>
          <w:p w14:paraId="0FD11275" w14:textId="6891A20F" w:rsidR="007E64D8" w:rsidRPr="00C25E6D" w:rsidRDefault="00235B11" w:rsidP="007E64D8">
            <w:pPr>
              <w:spacing w:line="276" w:lineRule="auto"/>
              <w:rPr>
                <w:rFonts w:ascii="Times New Roman" w:hAnsi="Times New Roman" w:cs="Times New Roman"/>
                <w:color w:val="000000" w:themeColor="text1"/>
                <w:lang w:val="ro-MD"/>
              </w:rPr>
            </w:pPr>
            <w:r>
              <w:rPr>
                <w:rFonts w:ascii="Times New Roman" w:hAnsi="Times New Roman" w:cs="Times New Roman"/>
                <w:color w:val="000000" w:themeColor="text1"/>
                <w:lang w:val="ro-MD"/>
              </w:rPr>
              <w:lastRenderedPageBreak/>
              <w:t>compatibil</w:t>
            </w:r>
          </w:p>
        </w:tc>
        <w:tc>
          <w:tcPr>
            <w:tcW w:w="1261" w:type="pct"/>
          </w:tcPr>
          <w:p w14:paraId="62BDC946" w14:textId="77777777" w:rsidR="007E64D8" w:rsidRPr="00C25E6D" w:rsidRDefault="007E64D8" w:rsidP="007E64D8">
            <w:pPr>
              <w:spacing w:line="276" w:lineRule="auto"/>
              <w:rPr>
                <w:rFonts w:ascii="Times New Roman" w:hAnsi="Times New Roman" w:cs="Times New Roman"/>
                <w:color w:val="000000" w:themeColor="text1"/>
                <w:lang w:val="ro-MD"/>
              </w:rPr>
            </w:pPr>
          </w:p>
        </w:tc>
      </w:tr>
      <w:tr w:rsidR="001E1943" w:rsidRPr="001E1943" w14:paraId="7537B8A6" w14:textId="77777777" w:rsidTr="00586A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17"/>
        </w:trPr>
        <w:tc>
          <w:tcPr>
            <w:tcW w:w="1597" w:type="pct"/>
          </w:tcPr>
          <w:p w14:paraId="05147BBA" w14:textId="77777777" w:rsidR="001E1943" w:rsidRPr="001B0475" w:rsidRDefault="001E1943" w:rsidP="007E64D8">
            <w:pPr>
              <w:spacing w:line="276" w:lineRule="auto"/>
              <w:jc w:val="both"/>
              <w:rPr>
                <w:rFonts w:ascii="Times New Roman" w:hAnsi="Times New Roman" w:cs="Times New Roman"/>
                <w:color w:val="000000" w:themeColor="text1"/>
                <w:lang w:val="ro-MD"/>
              </w:rPr>
            </w:pPr>
            <w:r w:rsidRPr="001B0475">
              <w:rPr>
                <w:rFonts w:ascii="Times New Roman" w:hAnsi="Times New Roman" w:cs="Times New Roman"/>
                <w:color w:val="000000" w:themeColor="text1"/>
                <w:lang w:val="ro-MD"/>
              </w:rPr>
              <w:t>(3) În sensul alineatului (1), în cazul unui factor de risc care ar putea fi încadrat în mai multe categorii generale de factori</w:t>
            </w:r>
            <w:r>
              <w:rPr>
                <w:rFonts w:ascii="Times New Roman" w:hAnsi="Times New Roman" w:cs="Times New Roman"/>
                <w:color w:val="000000" w:themeColor="text1"/>
                <w:lang w:val="ro-MD"/>
              </w:rPr>
              <w:t xml:space="preserve"> </w:t>
            </w:r>
            <w:r w:rsidRPr="001B0475">
              <w:rPr>
                <w:rFonts w:ascii="Times New Roman" w:hAnsi="Times New Roman" w:cs="Times New Roman"/>
                <w:color w:val="000000" w:themeColor="text1"/>
                <w:lang w:val="ro-MD"/>
              </w:rPr>
              <w:t>de risc sau subcategorii generale de factori de risc, instituțiile identifică toate categoriile și subcategoriile corespunzătoare</w:t>
            </w:r>
            <w:r>
              <w:rPr>
                <w:rFonts w:ascii="Times New Roman" w:hAnsi="Times New Roman" w:cs="Times New Roman"/>
                <w:color w:val="000000" w:themeColor="text1"/>
                <w:lang w:val="ro-MD"/>
              </w:rPr>
              <w:t xml:space="preserve"> </w:t>
            </w:r>
            <w:r w:rsidRPr="001B0475">
              <w:rPr>
                <w:rFonts w:ascii="Times New Roman" w:hAnsi="Times New Roman" w:cs="Times New Roman"/>
                <w:color w:val="000000" w:themeColor="text1"/>
                <w:lang w:val="ro-MD"/>
              </w:rPr>
              <w:t>respective.</w:t>
            </w:r>
          </w:p>
          <w:p w14:paraId="7DDB3BE6" w14:textId="77777777" w:rsidR="001E1943" w:rsidRPr="001B0475" w:rsidRDefault="001E1943" w:rsidP="007E64D8">
            <w:pPr>
              <w:spacing w:line="276" w:lineRule="auto"/>
              <w:jc w:val="both"/>
              <w:rPr>
                <w:rFonts w:ascii="Times New Roman" w:hAnsi="Times New Roman" w:cs="Times New Roman"/>
                <w:color w:val="000000" w:themeColor="text1"/>
                <w:lang w:val="ro-MD"/>
              </w:rPr>
            </w:pPr>
            <w:r w:rsidRPr="001B0475">
              <w:rPr>
                <w:rFonts w:ascii="Times New Roman" w:hAnsi="Times New Roman" w:cs="Times New Roman"/>
                <w:color w:val="000000" w:themeColor="text1"/>
                <w:lang w:val="ro-MD"/>
              </w:rPr>
              <w:t>Dintre respectivele categorii generale de factori de risc sau subcategorii generale corespunzătoare de factori de risc, factorul</w:t>
            </w:r>
            <w:r>
              <w:rPr>
                <w:rFonts w:ascii="Times New Roman" w:hAnsi="Times New Roman" w:cs="Times New Roman"/>
                <w:color w:val="000000" w:themeColor="text1"/>
                <w:lang w:val="ro-MD"/>
              </w:rPr>
              <w:t xml:space="preserve"> </w:t>
            </w:r>
            <w:r w:rsidRPr="001B0475">
              <w:rPr>
                <w:rFonts w:ascii="Times New Roman" w:hAnsi="Times New Roman" w:cs="Times New Roman"/>
                <w:color w:val="000000" w:themeColor="text1"/>
                <w:lang w:val="ro-MD"/>
              </w:rPr>
              <w:t>de risc este încadrat în categoria generală de factori de risc și în subcategoria generală de factori de risc corespunzătoare care</w:t>
            </w:r>
            <w:r>
              <w:rPr>
                <w:rFonts w:ascii="Times New Roman" w:hAnsi="Times New Roman" w:cs="Times New Roman"/>
                <w:color w:val="000000" w:themeColor="text1"/>
                <w:lang w:val="ro-MD"/>
              </w:rPr>
              <w:t xml:space="preserve"> </w:t>
            </w:r>
            <w:r w:rsidRPr="001B0475">
              <w:rPr>
                <w:rFonts w:ascii="Times New Roman" w:hAnsi="Times New Roman" w:cs="Times New Roman"/>
                <w:color w:val="000000" w:themeColor="text1"/>
                <w:lang w:val="ro-MD"/>
              </w:rPr>
              <w:t>au orizontul de lichiditate cel mai lung.</w:t>
            </w:r>
          </w:p>
          <w:p w14:paraId="61917EBA" w14:textId="5E95E2A2" w:rsidR="001E1943" w:rsidRPr="001B0475" w:rsidRDefault="001E1943" w:rsidP="007E64D8">
            <w:pPr>
              <w:spacing w:line="276" w:lineRule="auto"/>
              <w:jc w:val="both"/>
              <w:rPr>
                <w:rFonts w:ascii="Times New Roman" w:hAnsi="Times New Roman" w:cs="Times New Roman"/>
                <w:color w:val="000000" w:themeColor="text1"/>
                <w:lang w:val="ro-MD"/>
              </w:rPr>
            </w:pPr>
            <w:r w:rsidRPr="001B0475">
              <w:rPr>
                <w:rFonts w:ascii="Times New Roman" w:hAnsi="Times New Roman" w:cs="Times New Roman"/>
                <w:color w:val="000000" w:themeColor="text1"/>
                <w:lang w:val="ro-MD"/>
              </w:rPr>
              <w:t>În cazul în care mai multe categorii generale de factori de risc sau subcategorii generale corespunzătoare de factori de risc</w:t>
            </w:r>
            <w:r>
              <w:rPr>
                <w:rFonts w:ascii="Times New Roman" w:hAnsi="Times New Roman" w:cs="Times New Roman"/>
                <w:color w:val="000000" w:themeColor="text1"/>
                <w:lang w:val="ro-MD"/>
              </w:rPr>
              <w:t xml:space="preserve"> </w:t>
            </w:r>
            <w:r w:rsidRPr="001B0475">
              <w:rPr>
                <w:rFonts w:ascii="Times New Roman" w:hAnsi="Times New Roman" w:cs="Times New Roman"/>
                <w:color w:val="000000" w:themeColor="text1"/>
                <w:lang w:val="ro-MD"/>
              </w:rPr>
              <w:t>au același orizont de lichiditate cel mai lung, factorul de risc poate fi încadrat în oricare dintre respectivele categorii</w:t>
            </w:r>
            <w:r>
              <w:rPr>
                <w:rFonts w:ascii="Times New Roman" w:hAnsi="Times New Roman" w:cs="Times New Roman"/>
                <w:color w:val="000000" w:themeColor="text1"/>
                <w:lang w:val="ro-MD"/>
              </w:rPr>
              <w:t xml:space="preserve"> </w:t>
            </w:r>
            <w:r w:rsidRPr="001B0475">
              <w:rPr>
                <w:rFonts w:ascii="Times New Roman" w:hAnsi="Times New Roman" w:cs="Times New Roman"/>
                <w:color w:val="000000" w:themeColor="text1"/>
                <w:lang w:val="ro-MD"/>
              </w:rPr>
              <w:t>generale de factori de risc și subcategorii generale de factori de risc corespunzătoare.</w:t>
            </w:r>
          </w:p>
        </w:tc>
        <w:tc>
          <w:tcPr>
            <w:tcW w:w="1692" w:type="pct"/>
          </w:tcPr>
          <w:p w14:paraId="3C1866D6" w14:textId="39E63653" w:rsidR="001E1943" w:rsidRPr="00C25E6D" w:rsidRDefault="001E1943" w:rsidP="007E64D8">
            <w:pPr>
              <w:spacing w:line="276" w:lineRule="auto"/>
              <w:jc w:val="both"/>
              <w:rPr>
                <w:rFonts w:ascii="Times New Roman" w:hAnsi="Times New Roman" w:cs="Times New Roman"/>
                <w:b/>
                <w:color w:val="000000" w:themeColor="text1"/>
                <w:lang w:val="ro-MD"/>
              </w:rPr>
            </w:pPr>
            <w:bookmarkStart w:id="10" w:name="_Hlk223694427"/>
            <w:r>
              <w:rPr>
                <w:rFonts w:ascii="Times New Roman" w:hAnsi="Times New Roman" w:cs="Times New Roman"/>
                <w:color w:val="000000" w:themeColor="text1"/>
                <w:lang w:val="ro-MD"/>
              </w:rPr>
              <w:t>4.</w:t>
            </w:r>
            <w:r w:rsidRPr="001B0475">
              <w:rPr>
                <w:rFonts w:ascii="Times New Roman" w:hAnsi="Times New Roman" w:cs="Times New Roman"/>
                <w:color w:val="000000" w:themeColor="text1"/>
                <w:lang w:val="ro-MD"/>
              </w:rPr>
              <w:t xml:space="preserve"> În sensul</w:t>
            </w:r>
            <w:r w:rsidR="00236424">
              <w:rPr>
                <w:rFonts w:ascii="Times New Roman" w:hAnsi="Times New Roman" w:cs="Times New Roman"/>
                <w:color w:val="000000" w:themeColor="text1"/>
                <w:lang w:val="ro-MD"/>
              </w:rPr>
              <w:t xml:space="preserve"> </w:t>
            </w:r>
            <w:r>
              <w:rPr>
                <w:rFonts w:ascii="Times New Roman" w:hAnsi="Times New Roman" w:cs="Times New Roman"/>
                <w:color w:val="000000" w:themeColor="text1"/>
                <w:lang w:val="ro-MD"/>
              </w:rPr>
              <w:t>pct.1-2</w:t>
            </w:r>
            <w:r w:rsidRPr="001B0475">
              <w:rPr>
                <w:rFonts w:ascii="Times New Roman" w:hAnsi="Times New Roman" w:cs="Times New Roman"/>
                <w:color w:val="000000" w:themeColor="text1"/>
                <w:lang w:val="ro-MD"/>
              </w:rPr>
              <w:t>, în cazul unui factor de risc care ar putea fi încadrat în mai multe categorii generale de factori</w:t>
            </w:r>
            <w:r>
              <w:rPr>
                <w:rFonts w:ascii="Times New Roman" w:hAnsi="Times New Roman" w:cs="Times New Roman"/>
                <w:color w:val="000000" w:themeColor="text1"/>
                <w:lang w:val="ro-MD"/>
              </w:rPr>
              <w:t xml:space="preserve"> </w:t>
            </w:r>
            <w:r w:rsidRPr="001B0475">
              <w:rPr>
                <w:rFonts w:ascii="Times New Roman" w:hAnsi="Times New Roman" w:cs="Times New Roman"/>
                <w:color w:val="000000" w:themeColor="text1"/>
                <w:lang w:val="ro-MD"/>
              </w:rPr>
              <w:t xml:space="preserve">de risc sau subcategorii generale de factori de risc, </w:t>
            </w:r>
            <w:r>
              <w:rPr>
                <w:rFonts w:ascii="Times New Roman" w:hAnsi="Times New Roman" w:cs="Times New Roman"/>
                <w:color w:val="000000" w:themeColor="text1"/>
                <w:lang w:val="ro-MD"/>
              </w:rPr>
              <w:t>băncile</w:t>
            </w:r>
            <w:r w:rsidRPr="001B0475">
              <w:rPr>
                <w:rFonts w:ascii="Times New Roman" w:hAnsi="Times New Roman" w:cs="Times New Roman"/>
                <w:color w:val="000000" w:themeColor="text1"/>
                <w:lang w:val="ro-MD"/>
              </w:rPr>
              <w:t xml:space="preserve"> identifică toate categoriile și subcategoriile corespunzătoare</w:t>
            </w:r>
            <w:r>
              <w:rPr>
                <w:rFonts w:ascii="Times New Roman" w:hAnsi="Times New Roman" w:cs="Times New Roman"/>
                <w:color w:val="000000" w:themeColor="text1"/>
                <w:lang w:val="ro-MD"/>
              </w:rPr>
              <w:t xml:space="preserve"> </w:t>
            </w:r>
            <w:r w:rsidRPr="001B0475">
              <w:rPr>
                <w:rFonts w:ascii="Times New Roman" w:hAnsi="Times New Roman" w:cs="Times New Roman"/>
                <w:color w:val="000000" w:themeColor="text1"/>
                <w:lang w:val="ro-MD"/>
              </w:rPr>
              <w:t>respective.</w:t>
            </w:r>
          </w:p>
          <w:p w14:paraId="0F2DF4A4" w14:textId="1670C494" w:rsidR="001E1943" w:rsidRPr="00C25E6D" w:rsidRDefault="001E1943" w:rsidP="007E64D8">
            <w:pPr>
              <w:spacing w:line="276" w:lineRule="auto"/>
              <w:jc w:val="both"/>
              <w:rPr>
                <w:rFonts w:ascii="Times New Roman" w:hAnsi="Times New Roman" w:cs="Times New Roman"/>
                <w:b/>
                <w:color w:val="000000" w:themeColor="text1"/>
                <w:lang w:val="ro-MD"/>
              </w:rPr>
            </w:pPr>
            <w:r>
              <w:rPr>
                <w:rFonts w:ascii="Times New Roman" w:hAnsi="Times New Roman" w:cs="Times New Roman"/>
                <w:color w:val="000000" w:themeColor="text1"/>
                <w:lang w:val="ro-MD"/>
              </w:rPr>
              <w:t xml:space="preserve">5. </w:t>
            </w:r>
            <w:r w:rsidRPr="001B0475">
              <w:rPr>
                <w:rFonts w:ascii="Times New Roman" w:hAnsi="Times New Roman" w:cs="Times New Roman"/>
                <w:color w:val="000000" w:themeColor="text1"/>
                <w:lang w:val="ro-MD"/>
              </w:rPr>
              <w:t>Dintre respectivele categorii generale de factori de risc sau subcategorii generale corespunzătoare de factori de risc, factorul</w:t>
            </w:r>
            <w:r>
              <w:rPr>
                <w:rFonts w:ascii="Times New Roman" w:hAnsi="Times New Roman" w:cs="Times New Roman"/>
                <w:color w:val="000000" w:themeColor="text1"/>
                <w:lang w:val="ro-MD"/>
              </w:rPr>
              <w:t xml:space="preserve"> </w:t>
            </w:r>
            <w:r w:rsidRPr="001B0475">
              <w:rPr>
                <w:rFonts w:ascii="Times New Roman" w:hAnsi="Times New Roman" w:cs="Times New Roman"/>
                <w:color w:val="000000" w:themeColor="text1"/>
                <w:lang w:val="ro-MD"/>
              </w:rPr>
              <w:t>de risc este încadrat în categoria generală de factori de risc și în subcategoria generală de factori de risc corespunzătoare care</w:t>
            </w:r>
            <w:r>
              <w:rPr>
                <w:rFonts w:ascii="Times New Roman" w:hAnsi="Times New Roman" w:cs="Times New Roman"/>
                <w:color w:val="000000" w:themeColor="text1"/>
                <w:lang w:val="ro-MD"/>
              </w:rPr>
              <w:t xml:space="preserve"> </w:t>
            </w:r>
            <w:r w:rsidRPr="001B0475">
              <w:rPr>
                <w:rFonts w:ascii="Times New Roman" w:hAnsi="Times New Roman" w:cs="Times New Roman"/>
                <w:color w:val="000000" w:themeColor="text1"/>
                <w:lang w:val="ro-MD"/>
              </w:rPr>
              <w:t>au orizontul de lichiditate cel mai lung.</w:t>
            </w:r>
          </w:p>
          <w:p w14:paraId="25B79FEE" w14:textId="20C84E86" w:rsidR="001E1943" w:rsidRPr="00C25E6D" w:rsidRDefault="001E1943" w:rsidP="007E64D8">
            <w:pPr>
              <w:spacing w:line="276" w:lineRule="auto"/>
              <w:jc w:val="both"/>
              <w:rPr>
                <w:rFonts w:ascii="Times New Roman" w:hAnsi="Times New Roman" w:cs="Times New Roman"/>
                <w:b/>
                <w:color w:val="000000" w:themeColor="text1"/>
                <w:lang w:val="ro-MD"/>
              </w:rPr>
            </w:pPr>
            <w:r>
              <w:rPr>
                <w:rFonts w:ascii="Times New Roman" w:hAnsi="Times New Roman" w:cs="Times New Roman"/>
                <w:color w:val="000000" w:themeColor="text1"/>
                <w:lang w:val="ro-MD"/>
              </w:rPr>
              <w:t xml:space="preserve">6. </w:t>
            </w:r>
            <w:r w:rsidRPr="001B0475">
              <w:rPr>
                <w:rFonts w:ascii="Times New Roman" w:hAnsi="Times New Roman" w:cs="Times New Roman"/>
                <w:color w:val="000000" w:themeColor="text1"/>
                <w:lang w:val="ro-MD"/>
              </w:rPr>
              <w:t>În cazul în care mai multe categorii generale de factori de risc sau subcategorii generale corespunzătoare de factori de risc</w:t>
            </w:r>
            <w:r>
              <w:rPr>
                <w:rFonts w:ascii="Times New Roman" w:hAnsi="Times New Roman" w:cs="Times New Roman"/>
                <w:color w:val="000000" w:themeColor="text1"/>
                <w:lang w:val="ro-MD"/>
              </w:rPr>
              <w:t xml:space="preserve"> </w:t>
            </w:r>
            <w:r w:rsidRPr="001B0475">
              <w:rPr>
                <w:rFonts w:ascii="Times New Roman" w:hAnsi="Times New Roman" w:cs="Times New Roman"/>
                <w:color w:val="000000" w:themeColor="text1"/>
                <w:lang w:val="ro-MD"/>
              </w:rPr>
              <w:t>au același orizont de lichiditate cel mai lung, factorul de risc poate fi încadrat în oricare dintre respectivele categorii</w:t>
            </w:r>
            <w:r>
              <w:rPr>
                <w:rFonts w:ascii="Times New Roman" w:hAnsi="Times New Roman" w:cs="Times New Roman"/>
                <w:color w:val="000000" w:themeColor="text1"/>
                <w:lang w:val="ro-MD"/>
              </w:rPr>
              <w:t xml:space="preserve"> </w:t>
            </w:r>
            <w:r w:rsidRPr="001B0475">
              <w:rPr>
                <w:rFonts w:ascii="Times New Roman" w:hAnsi="Times New Roman" w:cs="Times New Roman"/>
                <w:color w:val="000000" w:themeColor="text1"/>
                <w:lang w:val="ro-MD"/>
              </w:rPr>
              <w:t>generale de factori de risc și subcategorii generale de factori de risc corespunzătoare.</w:t>
            </w:r>
            <w:bookmarkEnd w:id="10"/>
          </w:p>
        </w:tc>
        <w:tc>
          <w:tcPr>
            <w:tcW w:w="450" w:type="pct"/>
          </w:tcPr>
          <w:p w14:paraId="107F38B1" w14:textId="014C1230" w:rsidR="001E1943" w:rsidRPr="00C25E6D" w:rsidRDefault="00235B11" w:rsidP="007E64D8">
            <w:pPr>
              <w:spacing w:line="276" w:lineRule="auto"/>
              <w:rPr>
                <w:rFonts w:ascii="Times New Roman" w:hAnsi="Times New Roman" w:cs="Times New Roman"/>
                <w:color w:val="000000" w:themeColor="text1"/>
                <w:lang w:val="ro-MD"/>
              </w:rPr>
            </w:pPr>
            <w:r>
              <w:rPr>
                <w:rFonts w:ascii="Times New Roman" w:hAnsi="Times New Roman" w:cs="Times New Roman"/>
                <w:color w:val="000000" w:themeColor="text1"/>
                <w:lang w:val="ro-MD"/>
              </w:rPr>
              <w:t>compatibil</w:t>
            </w:r>
          </w:p>
        </w:tc>
        <w:tc>
          <w:tcPr>
            <w:tcW w:w="1261" w:type="pct"/>
          </w:tcPr>
          <w:p w14:paraId="7BAE9FDC" w14:textId="77777777" w:rsidR="001E1943" w:rsidRPr="00C25E6D" w:rsidRDefault="001E1943" w:rsidP="007E64D8">
            <w:pPr>
              <w:spacing w:line="276" w:lineRule="auto"/>
              <w:rPr>
                <w:rFonts w:ascii="Times New Roman" w:hAnsi="Times New Roman" w:cs="Times New Roman"/>
                <w:color w:val="000000" w:themeColor="text1"/>
                <w:lang w:val="ro-MD"/>
              </w:rPr>
            </w:pPr>
          </w:p>
        </w:tc>
      </w:tr>
      <w:tr w:rsidR="007E64D8" w:rsidRPr="001B0475" w14:paraId="08313C1F"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777922E1" w14:textId="42D7EC3D" w:rsidR="007E64D8" w:rsidRPr="001B0475" w:rsidRDefault="007E64D8" w:rsidP="004635E0">
            <w:pPr>
              <w:spacing w:line="276" w:lineRule="auto"/>
              <w:jc w:val="both"/>
              <w:rPr>
                <w:rFonts w:ascii="Times New Roman" w:hAnsi="Times New Roman" w:cs="Times New Roman"/>
                <w:color w:val="000000" w:themeColor="text1"/>
                <w:lang w:val="ro-MD"/>
              </w:rPr>
            </w:pPr>
            <w:r w:rsidRPr="001B0475">
              <w:rPr>
                <w:rFonts w:ascii="Times New Roman" w:hAnsi="Times New Roman" w:cs="Times New Roman"/>
                <w:color w:val="000000" w:themeColor="text1"/>
                <w:lang w:val="ro-MD"/>
              </w:rPr>
              <w:lastRenderedPageBreak/>
              <w:t>Articolul 2</w:t>
            </w:r>
            <w:r>
              <w:rPr>
                <w:rFonts w:ascii="Times New Roman" w:hAnsi="Times New Roman" w:cs="Times New Roman"/>
                <w:color w:val="000000" w:themeColor="text1"/>
                <w:lang w:val="ro-MD"/>
              </w:rPr>
              <w:t xml:space="preserve"> </w:t>
            </w:r>
            <w:r w:rsidRPr="001B0475">
              <w:rPr>
                <w:rFonts w:ascii="Times New Roman" w:hAnsi="Times New Roman" w:cs="Times New Roman"/>
                <w:b/>
                <w:bCs/>
                <w:color w:val="000000" w:themeColor="text1"/>
                <w:lang w:val="ro-MD"/>
              </w:rPr>
              <w:t>Metodologia specifică pentru instrumentele-indice omogene</w:t>
            </w:r>
          </w:p>
        </w:tc>
        <w:tc>
          <w:tcPr>
            <w:tcW w:w="1692" w:type="pct"/>
          </w:tcPr>
          <w:p w14:paraId="7D3C0DE4" w14:textId="26A1B424" w:rsidR="007E64D8" w:rsidRPr="00C25E6D" w:rsidRDefault="00404045" w:rsidP="004635E0">
            <w:pPr>
              <w:spacing w:line="276" w:lineRule="auto"/>
              <w:jc w:val="both"/>
              <w:rPr>
                <w:rFonts w:ascii="Times New Roman" w:hAnsi="Times New Roman" w:cs="Times New Roman"/>
                <w:b/>
                <w:color w:val="000000" w:themeColor="text1"/>
                <w:lang w:val="ro-MD"/>
              </w:rPr>
            </w:pPr>
            <w:bookmarkStart w:id="11" w:name="_Hlk223694449"/>
            <w:r w:rsidRPr="00404045">
              <w:rPr>
                <w:rFonts w:ascii="Times New Roman" w:hAnsi="Times New Roman" w:cs="Times New Roman"/>
                <w:color w:val="000000" w:themeColor="text1"/>
                <w:lang w:val="ro-MD"/>
              </w:rPr>
              <w:t xml:space="preserve">Subsecțiunea </w:t>
            </w:r>
            <w:r>
              <w:rPr>
                <w:rFonts w:ascii="Times New Roman" w:hAnsi="Times New Roman" w:cs="Times New Roman"/>
                <w:color w:val="000000" w:themeColor="text1"/>
                <w:lang w:val="ro-MD"/>
              </w:rPr>
              <w:t>2</w:t>
            </w:r>
            <w:r w:rsidRPr="00404045">
              <w:rPr>
                <w:rFonts w:ascii="Times New Roman" w:hAnsi="Times New Roman" w:cs="Times New Roman"/>
                <w:color w:val="000000" w:themeColor="text1"/>
                <w:lang w:val="ro-MD"/>
              </w:rPr>
              <w:t>.</w:t>
            </w:r>
            <w:r w:rsidRPr="00404045">
              <w:rPr>
                <w:rFonts w:ascii="Times New Roman" w:hAnsi="Times New Roman" w:cs="Times New Roman"/>
                <w:b/>
                <w:bCs/>
                <w:color w:val="000000" w:themeColor="text1"/>
                <w:lang w:val="ro-MD"/>
              </w:rPr>
              <w:t xml:space="preserve"> </w:t>
            </w:r>
            <w:r w:rsidR="004635E0">
              <w:rPr>
                <w:rFonts w:ascii="Times New Roman" w:hAnsi="Times New Roman" w:cs="Times New Roman"/>
                <w:color w:val="000000" w:themeColor="text1"/>
                <w:lang w:val="ro-MD"/>
              </w:rPr>
              <w:t xml:space="preserve"> </w:t>
            </w:r>
            <w:r w:rsidR="004635E0" w:rsidRPr="001B0475">
              <w:rPr>
                <w:rFonts w:ascii="Times New Roman" w:hAnsi="Times New Roman" w:cs="Times New Roman"/>
                <w:b/>
                <w:bCs/>
                <w:color w:val="000000" w:themeColor="text1"/>
                <w:lang w:val="ro-MD"/>
              </w:rPr>
              <w:t>Metodologia specifică pentru instrumentele-indice omogene</w:t>
            </w:r>
            <w:bookmarkEnd w:id="11"/>
          </w:p>
        </w:tc>
        <w:tc>
          <w:tcPr>
            <w:tcW w:w="450" w:type="pct"/>
          </w:tcPr>
          <w:p w14:paraId="03EDE349" w14:textId="77777777" w:rsidR="007E64D8" w:rsidRPr="00C25E6D" w:rsidRDefault="007E64D8" w:rsidP="007E64D8">
            <w:pPr>
              <w:spacing w:line="276" w:lineRule="auto"/>
              <w:rPr>
                <w:rFonts w:ascii="Times New Roman" w:hAnsi="Times New Roman" w:cs="Times New Roman"/>
                <w:color w:val="000000" w:themeColor="text1"/>
                <w:lang w:val="ro-MD"/>
              </w:rPr>
            </w:pPr>
          </w:p>
        </w:tc>
        <w:tc>
          <w:tcPr>
            <w:tcW w:w="1261" w:type="pct"/>
          </w:tcPr>
          <w:p w14:paraId="583519F2" w14:textId="77777777" w:rsidR="007E64D8" w:rsidRPr="00C25E6D" w:rsidRDefault="007E64D8" w:rsidP="007E64D8">
            <w:pPr>
              <w:spacing w:line="276" w:lineRule="auto"/>
              <w:rPr>
                <w:rFonts w:ascii="Times New Roman" w:hAnsi="Times New Roman" w:cs="Times New Roman"/>
                <w:color w:val="000000" w:themeColor="text1"/>
                <w:lang w:val="ro-MD"/>
              </w:rPr>
            </w:pPr>
          </w:p>
        </w:tc>
      </w:tr>
      <w:tr w:rsidR="001E1943" w:rsidRPr="001E1943" w14:paraId="41F5B367" w14:textId="77777777" w:rsidTr="00057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41"/>
        </w:trPr>
        <w:tc>
          <w:tcPr>
            <w:tcW w:w="1597" w:type="pct"/>
          </w:tcPr>
          <w:p w14:paraId="2FF3E612" w14:textId="77777777" w:rsidR="001E1943" w:rsidRPr="001B0475" w:rsidRDefault="001E1943" w:rsidP="007E64D8">
            <w:pPr>
              <w:spacing w:line="276" w:lineRule="auto"/>
              <w:jc w:val="both"/>
              <w:rPr>
                <w:rFonts w:ascii="Times New Roman" w:hAnsi="Times New Roman" w:cs="Times New Roman"/>
                <w:color w:val="000000" w:themeColor="text1"/>
                <w:lang w:val="ro-MD"/>
              </w:rPr>
            </w:pPr>
            <w:r w:rsidRPr="00E912EB">
              <w:rPr>
                <w:rFonts w:ascii="Times New Roman" w:hAnsi="Times New Roman" w:cs="Times New Roman"/>
                <w:color w:val="000000" w:themeColor="text1"/>
                <w:lang w:val="ro-MD"/>
              </w:rPr>
              <w:t>(1) Prin derogare de la articolul 1, în cazul în care o instituție reprezintă o poziție pe un instrument-indice omogen ca un</w:t>
            </w:r>
            <w:r>
              <w:rPr>
                <w:rFonts w:ascii="Times New Roman" w:hAnsi="Times New Roman" w:cs="Times New Roman"/>
                <w:color w:val="000000" w:themeColor="text1"/>
                <w:lang w:val="ro-MD"/>
              </w:rPr>
              <w:t xml:space="preserve"> </w:t>
            </w:r>
            <w:r w:rsidRPr="00E912EB">
              <w:rPr>
                <w:rFonts w:ascii="Times New Roman" w:hAnsi="Times New Roman" w:cs="Times New Roman"/>
                <w:color w:val="000000" w:themeColor="text1"/>
                <w:lang w:val="ro-MD"/>
              </w:rPr>
              <w:t>singur factor de risc în modelul său de măsurare a riscului, instituția poate alege să încadreze factorul de risc în conformitate</w:t>
            </w:r>
            <w:r>
              <w:rPr>
                <w:rFonts w:ascii="Times New Roman" w:hAnsi="Times New Roman" w:cs="Times New Roman"/>
                <w:color w:val="000000" w:themeColor="text1"/>
                <w:lang w:val="ro-MD"/>
              </w:rPr>
              <w:t xml:space="preserve"> </w:t>
            </w:r>
            <w:r w:rsidRPr="00E912EB">
              <w:rPr>
                <w:rFonts w:ascii="Times New Roman" w:hAnsi="Times New Roman" w:cs="Times New Roman"/>
                <w:color w:val="000000" w:themeColor="text1"/>
                <w:lang w:val="ro-MD"/>
              </w:rPr>
              <w:t>cu metodologia prevăzută la alineatul (2).</w:t>
            </w:r>
          </w:p>
          <w:p w14:paraId="3ACE1D27" w14:textId="77777777" w:rsidR="001E1943" w:rsidRPr="00E912EB" w:rsidRDefault="001E1943" w:rsidP="004635E0">
            <w:pPr>
              <w:spacing w:after="0" w:line="240" w:lineRule="auto"/>
              <w:jc w:val="both"/>
              <w:rPr>
                <w:rFonts w:ascii="Times New Roman" w:hAnsi="Times New Roman" w:cs="Times New Roman"/>
                <w:color w:val="000000" w:themeColor="text1"/>
                <w:lang w:val="ro-MD"/>
              </w:rPr>
            </w:pPr>
            <w:r w:rsidRPr="00E912EB">
              <w:rPr>
                <w:rFonts w:ascii="Times New Roman" w:hAnsi="Times New Roman" w:cs="Times New Roman"/>
                <w:color w:val="000000" w:themeColor="text1"/>
                <w:lang w:val="ro-MD"/>
              </w:rPr>
              <w:t>În sensul prezentului articol, un „indice omogen” înseamnă un indice care are una dintre următoarele compoziții:</w:t>
            </w:r>
          </w:p>
          <w:p w14:paraId="10412821" w14:textId="77777777" w:rsidR="001E1943" w:rsidRPr="00E912EB" w:rsidRDefault="001E1943" w:rsidP="004635E0">
            <w:pPr>
              <w:spacing w:after="0" w:line="240" w:lineRule="auto"/>
              <w:jc w:val="both"/>
              <w:rPr>
                <w:rFonts w:ascii="Times New Roman" w:hAnsi="Times New Roman" w:cs="Times New Roman"/>
                <w:color w:val="000000" w:themeColor="text1"/>
                <w:lang w:val="ro-MD"/>
              </w:rPr>
            </w:pPr>
            <w:r w:rsidRPr="00C55F73">
              <w:rPr>
                <w:rFonts w:ascii="Times New Roman" w:hAnsi="Times New Roman" w:cs="Times New Roman"/>
                <w:color w:val="000000" w:themeColor="text1"/>
                <w:lang w:val="ro-MD"/>
              </w:rPr>
              <w:t>(a) titluri de capital sau alți indici compuși numai din titluri de capital;</w:t>
            </w:r>
          </w:p>
          <w:p w14:paraId="2EAD2DFD" w14:textId="77777777" w:rsidR="001E1943" w:rsidRPr="00E912EB" w:rsidRDefault="001E1943" w:rsidP="004635E0">
            <w:pPr>
              <w:spacing w:after="0" w:line="240" w:lineRule="auto"/>
              <w:jc w:val="both"/>
              <w:rPr>
                <w:rFonts w:ascii="Times New Roman" w:hAnsi="Times New Roman" w:cs="Times New Roman"/>
                <w:color w:val="000000" w:themeColor="text1"/>
                <w:lang w:val="ro-MD"/>
              </w:rPr>
            </w:pPr>
            <w:r w:rsidRPr="00C55F73">
              <w:rPr>
                <w:rFonts w:ascii="Times New Roman" w:hAnsi="Times New Roman" w:cs="Times New Roman"/>
                <w:color w:val="000000" w:themeColor="text1"/>
                <w:lang w:val="ro-MD"/>
              </w:rPr>
              <w:t>(b) obligațiuni sau alți indici compuși numai din obligațiuni;</w:t>
            </w:r>
          </w:p>
          <w:p w14:paraId="44CA1EFF" w14:textId="77777777" w:rsidR="001E1943" w:rsidRPr="00E912EB" w:rsidRDefault="001E1943" w:rsidP="004635E0">
            <w:pPr>
              <w:spacing w:after="0" w:line="240" w:lineRule="auto"/>
              <w:jc w:val="both"/>
              <w:rPr>
                <w:rFonts w:ascii="Times New Roman" w:hAnsi="Times New Roman" w:cs="Times New Roman"/>
                <w:color w:val="000000" w:themeColor="text1"/>
                <w:lang w:val="ro-MD"/>
              </w:rPr>
            </w:pPr>
            <w:r w:rsidRPr="00C55F73">
              <w:rPr>
                <w:rFonts w:ascii="Times New Roman" w:hAnsi="Times New Roman" w:cs="Times New Roman"/>
                <w:color w:val="000000" w:themeColor="text1"/>
                <w:lang w:val="ro-MD"/>
              </w:rPr>
              <w:t xml:space="preserve">(c) instrumente de tip credit </w:t>
            </w:r>
            <w:proofErr w:type="spellStart"/>
            <w:r w:rsidRPr="00C55F73">
              <w:rPr>
                <w:rFonts w:ascii="Times New Roman" w:hAnsi="Times New Roman" w:cs="Times New Roman"/>
                <w:color w:val="000000" w:themeColor="text1"/>
                <w:lang w:val="ro-MD"/>
              </w:rPr>
              <w:t>default</w:t>
            </w:r>
            <w:proofErr w:type="spellEnd"/>
            <w:r w:rsidRPr="00C55F73">
              <w:rPr>
                <w:rFonts w:ascii="Times New Roman" w:hAnsi="Times New Roman" w:cs="Times New Roman"/>
                <w:color w:val="000000" w:themeColor="text1"/>
                <w:lang w:val="ro-MD"/>
              </w:rPr>
              <w:t xml:space="preserve"> </w:t>
            </w:r>
            <w:proofErr w:type="spellStart"/>
            <w:r w:rsidRPr="00C55F73">
              <w:rPr>
                <w:rFonts w:ascii="Times New Roman" w:hAnsi="Times New Roman" w:cs="Times New Roman"/>
                <w:color w:val="000000" w:themeColor="text1"/>
                <w:lang w:val="ro-MD"/>
              </w:rPr>
              <w:t>swap</w:t>
            </w:r>
            <w:proofErr w:type="spellEnd"/>
            <w:r w:rsidRPr="00C55F73">
              <w:rPr>
                <w:rFonts w:ascii="Times New Roman" w:hAnsi="Times New Roman" w:cs="Times New Roman"/>
                <w:color w:val="000000" w:themeColor="text1"/>
                <w:lang w:val="ro-MD"/>
              </w:rPr>
              <w:t xml:space="preserve"> sau alți indici compuși numai din instrumente de tip credit </w:t>
            </w:r>
            <w:proofErr w:type="spellStart"/>
            <w:r w:rsidRPr="00C55F73">
              <w:rPr>
                <w:rFonts w:ascii="Times New Roman" w:hAnsi="Times New Roman" w:cs="Times New Roman"/>
                <w:color w:val="000000" w:themeColor="text1"/>
                <w:lang w:val="ro-MD"/>
              </w:rPr>
              <w:t>default</w:t>
            </w:r>
            <w:proofErr w:type="spellEnd"/>
            <w:r w:rsidRPr="00C55F73">
              <w:rPr>
                <w:rFonts w:ascii="Times New Roman" w:hAnsi="Times New Roman" w:cs="Times New Roman"/>
                <w:color w:val="000000" w:themeColor="text1"/>
                <w:lang w:val="ro-MD"/>
              </w:rPr>
              <w:t xml:space="preserve"> </w:t>
            </w:r>
            <w:proofErr w:type="spellStart"/>
            <w:r w:rsidRPr="00C55F73">
              <w:rPr>
                <w:rFonts w:ascii="Times New Roman" w:hAnsi="Times New Roman" w:cs="Times New Roman"/>
                <w:color w:val="000000" w:themeColor="text1"/>
                <w:lang w:val="ro-MD"/>
              </w:rPr>
              <w:t>swap</w:t>
            </w:r>
            <w:proofErr w:type="spellEnd"/>
            <w:r w:rsidRPr="00C55F73">
              <w:rPr>
                <w:rFonts w:ascii="Times New Roman" w:hAnsi="Times New Roman" w:cs="Times New Roman"/>
                <w:color w:val="000000" w:themeColor="text1"/>
                <w:lang w:val="ro-MD"/>
              </w:rPr>
              <w:t>;</w:t>
            </w:r>
          </w:p>
          <w:p w14:paraId="22EA8933" w14:textId="1913FF8B" w:rsidR="001E1943" w:rsidRPr="001B0475" w:rsidRDefault="001E1943" w:rsidP="004635E0">
            <w:pPr>
              <w:spacing w:after="0" w:line="240" w:lineRule="auto"/>
              <w:jc w:val="both"/>
              <w:rPr>
                <w:rFonts w:ascii="Times New Roman" w:hAnsi="Times New Roman" w:cs="Times New Roman"/>
                <w:color w:val="000000" w:themeColor="text1"/>
                <w:lang w:val="ro-MD"/>
              </w:rPr>
            </w:pPr>
            <w:r w:rsidRPr="00C55F73">
              <w:rPr>
                <w:rFonts w:ascii="Times New Roman" w:hAnsi="Times New Roman" w:cs="Times New Roman"/>
                <w:color w:val="000000" w:themeColor="text1"/>
                <w:lang w:val="ro-MD"/>
              </w:rPr>
              <w:t>(d) mărfuri sau alți indici compuși numai din mărfuri.</w:t>
            </w:r>
          </w:p>
        </w:tc>
        <w:tc>
          <w:tcPr>
            <w:tcW w:w="1692" w:type="pct"/>
          </w:tcPr>
          <w:p w14:paraId="60B47AE4" w14:textId="598A0F67" w:rsidR="001E1943" w:rsidRPr="00C25E6D" w:rsidRDefault="001E1943" w:rsidP="004635E0">
            <w:pPr>
              <w:spacing w:line="276" w:lineRule="auto"/>
              <w:jc w:val="both"/>
              <w:rPr>
                <w:rFonts w:ascii="Times New Roman" w:hAnsi="Times New Roman" w:cs="Times New Roman"/>
                <w:b/>
                <w:color w:val="000000" w:themeColor="text1"/>
                <w:lang w:val="ro-MD"/>
              </w:rPr>
            </w:pPr>
            <w:bookmarkStart w:id="12" w:name="_Hlk223694502"/>
            <w:r>
              <w:rPr>
                <w:rFonts w:ascii="Times New Roman" w:hAnsi="Times New Roman" w:cs="Times New Roman"/>
                <w:color w:val="000000" w:themeColor="text1"/>
                <w:lang w:val="ro-MD"/>
              </w:rPr>
              <w:t>7.</w:t>
            </w:r>
            <w:r w:rsidRPr="00E912EB">
              <w:rPr>
                <w:rFonts w:ascii="Times New Roman" w:hAnsi="Times New Roman" w:cs="Times New Roman"/>
                <w:color w:val="000000" w:themeColor="text1"/>
                <w:lang w:val="ro-MD"/>
              </w:rPr>
              <w:t xml:space="preserve"> Prin derogare de la </w:t>
            </w:r>
            <w:r>
              <w:rPr>
                <w:rFonts w:ascii="Times New Roman" w:hAnsi="Times New Roman" w:cs="Times New Roman"/>
                <w:color w:val="000000" w:themeColor="text1"/>
                <w:lang w:val="ro-MD"/>
              </w:rPr>
              <w:t>subsecțiunea 1</w:t>
            </w:r>
            <w:r w:rsidRPr="00E912EB">
              <w:rPr>
                <w:rFonts w:ascii="Times New Roman" w:hAnsi="Times New Roman" w:cs="Times New Roman"/>
                <w:color w:val="000000" w:themeColor="text1"/>
                <w:lang w:val="ro-MD"/>
              </w:rPr>
              <w:t xml:space="preserve">, în cazul în care o </w:t>
            </w:r>
            <w:r>
              <w:rPr>
                <w:rFonts w:ascii="Times New Roman" w:hAnsi="Times New Roman" w:cs="Times New Roman"/>
                <w:color w:val="000000" w:themeColor="text1"/>
                <w:lang w:val="ro-MD"/>
              </w:rPr>
              <w:t>bancă</w:t>
            </w:r>
            <w:r w:rsidRPr="00E912EB">
              <w:rPr>
                <w:rFonts w:ascii="Times New Roman" w:hAnsi="Times New Roman" w:cs="Times New Roman"/>
                <w:color w:val="000000" w:themeColor="text1"/>
                <w:lang w:val="ro-MD"/>
              </w:rPr>
              <w:t xml:space="preserve"> reprezintă o poziție pe un instrument-indice omogen ca un</w:t>
            </w:r>
            <w:r>
              <w:rPr>
                <w:rFonts w:ascii="Times New Roman" w:hAnsi="Times New Roman" w:cs="Times New Roman"/>
                <w:color w:val="000000" w:themeColor="text1"/>
                <w:lang w:val="ro-MD"/>
              </w:rPr>
              <w:t xml:space="preserve"> </w:t>
            </w:r>
            <w:r w:rsidRPr="00E912EB">
              <w:rPr>
                <w:rFonts w:ascii="Times New Roman" w:hAnsi="Times New Roman" w:cs="Times New Roman"/>
                <w:color w:val="000000" w:themeColor="text1"/>
                <w:lang w:val="ro-MD"/>
              </w:rPr>
              <w:t xml:space="preserve">singur factor de risc în modelul său de măsurare a riscului, </w:t>
            </w:r>
            <w:r>
              <w:rPr>
                <w:rFonts w:ascii="Times New Roman" w:hAnsi="Times New Roman" w:cs="Times New Roman"/>
                <w:color w:val="000000" w:themeColor="text1"/>
                <w:lang w:val="ro-MD"/>
              </w:rPr>
              <w:t>banca</w:t>
            </w:r>
            <w:r w:rsidRPr="00E912EB">
              <w:rPr>
                <w:rFonts w:ascii="Times New Roman" w:hAnsi="Times New Roman" w:cs="Times New Roman"/>
                <w:color w:val="000000" w:themeColor="text1"/>
                <w:lang w:val="ro-MD"/>
              </w:rPr>
              <w:t xml:space="preserve"> poate alege să încadreze factorul de risc în conformitate</w:t>
            </w:r>
            <w:r>
              <w:rPr>
                <w:rFonts w:ascii="Times New Roman" w:hAnsi="Times New Roman" w:cs="Times New Roman"/>
                <w:color w:val="000000" w:themeColor="text1"/>
                <w:lang w:val="ro-MD"/>
              </w:rPr>
              <w:t xml:space="preserve"> </w:t>
            </w:r>
            <w:r w:rsidRPr="00E912EB">
              <w:rPr>
                <w:rFonts w:ascii="Times New Roman" w:hAnsi="Times New Roman" w:cs="Times New Roman"/>
                <w:color w:val="000000" w:themeColor="text1"/>
                <w:lang w:val="ro-MD"/>
              </w:rPr>
              <w:t xml:space="preserve">cu metodologia prevăzută la </w:t>
            </w:r>
            <w:r>
              <w:rPr>
                <w:rFonts w:ascii="Times New Roman" w:hAnsi="Times New Roman" w:cs="Times New Roman"/>
                <w:color w:val="000000" w:themeColor="text1"/>
                <w:lang w:val="ro-MD"/>
              </w:rPr>
              <w:t>pct.9</w:t>
            </w:r>
            <w:r w:rsidRPr="00E912EB">
              <w:rPr>
                <w:rFonts w:ascii="Times New Roman" w:hAnsi="Times New Roman" w:cs="Times New Roman"/>
                <w:color w:val="000000" w:themeColor="text1"/>
                <w:lang w:val="ro-MD"/>
              </w:rPr>
              <w:t>.</w:t>
            </w:r>
          </w:p>
          <w:p w14:paraId="06DB5A31" w14:textId="207DD835" w:rsidR="001E1943" w:rsidRPr="004635E0" w:rsidRDefault="001E1943" w:rsidP="004635E0">
            <w:pPr>
              <w:spacing w:after="0"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 xml:space="preserve">8. </w:t>
            </w:r>
            <w:r w:rsidRPr="00E912EB">
              <w:rPr>
                <w:rFonts w:ascii="Times New Roman" w:hAnsi="Times New Roman" w:cs="Times New Roman"/>
                <w:color w:val="000000" w:themeColor="text1"/>
                <w:lang w:val="ro-MD"/>
              </w:rPr>
              <w:t xml:space="preserve">În sensul </w:t>
            </w:r>
            <w:r>
              <w:rPr>
                <w:rFonts w:ascii="Times New Roman" w:hAnsi="Times New Roman" w:cs="Times New Roman"/>
                <w:color w:val="000000" w:themeColor="text1"/>
                <w:lang w:val="ro-MD"/>
              </w:rPr>
              <w:t>prezentei subsecțiuni</w:t>
            </w:r>
            <w:r w:rsidRPr="00E912EB">
              <w:rPr>
                <w:rFonts w:ascii="Times New Roman" w:hAnsi="Times New Roman" w:cs="Times New Roman"/>
                <w:color w:val="000000" w:themeColor="text1"/>
                <w:lang w:val="ro-MD"/>
              </w:rPr>
              <w:t>, un „indice omogen” înseamnă un indice care are una dintre următoarele compoziții:</w:t>
            </w:r>
          </w:p>
          <w:p w14:paraId="281FC9B7" w14:textId="16DC316A" w:rsidR="001E1943" w:rsidRPr="00C25E6D" w:rsidRDefault="001E1943" w:rsidP="004635E0">
            <w:pPr>
              <w:spacing w:line="276" w:lineRule="auto"/>
              <w:jc w:val="both"/>
              <w:rPr>
                <w:rFonts w:ascii="Times New Roman" w:hAnsi="Times New Roman" w:cs="Times New Roman"/>
                <w:b/>
                <w:color w:val="000000" w:themeColor="text1"/>
                <w:lang w:val="ro-MD"/>
              </w:rPr>
            </w:pPr>
            <w:r>
              <w:rPr>
                <w:rFonts w:ascii="Times New Roman" w:hAnsi="Times New Roman" w:cs="Times New Roman"/>
                <w:color w:val="000000" w:themeColor="text1"/>
                <w:lang w:val="ro-MD"/>
              </w:rPr>
              <w:t>8.1.</w:t>
            </w:r>
            <w:r w:rsidRPr="00C51BA0">
              <w:rPr>
                <w:rFonts w:ascii="Times New Roman" w:hAnsi="Times New Roman" w:cs="Times New Roman"/>
                <w:color w:val="000000" w:themeColor="text1"/>
                <w:lang w:val="ro-MD"/>
              </w:rPr>
              <w:t xml:space="preserve"> titluri de capital sau alți indici compuși numai din titluri de capital;</w:t>
            </w:r>
          </w:p>
          <w:p w14:paraId="668A48FF" w14:textId="18605FEA" w:rsidR="001E1943" w:rsidRPr="00C25E6D" w:rsidRDefault="001E1943" w:rsidP="004635E0">
            <w:pPr>
              <w:spacing w:line="276" w:lineRule="auto"/>
              <w:jc w:val="both"/>
              <w:rPr>
                <w:rFonts w:ascii="Times New Roman" w:hAnsi="Times New Roman" w:cs="Times New Roman"/>
                <w:b/>
                <w:color w:val="000000" w:themeColor="text1"/>
                <w:lang w:val="ro-MD"/>
              </w:rPr>
            </w:pPr>
            <w:r>
              <w:rPr>
                <w:rFonts w:ascii="Times New Roman" w:hAnsi="Times New Roman" w:cs="Times New Roman"/>
                <w:color w:val="000000" w:themeColor="text1"/>
                <w:lang w:val="ro-MD"/>
              </w:rPr>
              <w:t>8.2.</w:t>
            </w:r>
            <w:r w:rsidRPr="00C51BA0">
              <w:rPr>
                <w:rFonts w:ascii="Times New Roman" w:hAnsi="Times New Roman" w:cs="Times New Roman"/>
                <w:color w:val="000000" w:themeColor="text1"/>
                <w:lang w:val="ro-MD"/>
              </w:rPr>
              <w:t xml:space="preserve"> obligațiuni sau alți indici compuși numai din obligațiuni;</w:t>
            </w:r>
          </w:p>
          <w:p w14:paraId="621F3E78" w14:textId="444C5485" w:rsidR="001E1943" w:rsidRPr="00C25E6D" w:rsidRDefault="001E1943" w:rsidP="004635E0">
            <w:pPr>
              <w:spacing w:line="276" w:lineRule="auto"/>
              <w:jc w:val="both"/>
              <w:rPr>
                <w:rFonts w:ascii="Times New Roman" w:hAnsi="Times New Roman" w:cs="Times New Roman"/>
                <w:b/>
                <w:color w:val="000000" w:themeColor="text1"/>
                <w:lang w:val="ro-MD"/>
              </w:rPr>
            </w:pPr>
            <w:r>
              <w:rPr>
                <w:rFonts w:ascii="Times New Roman" w:hAnsi="Times New Roman" w:cs="Times New Roman"/>
                <w:color w:val="000000" w:themeColor="text1"/>
                <w:lang w:val="ro-MD"/>
              </w:rPr>
              <w:t>8.3.</w:t>
            </w:r>
            <w:r w:rsidRPr="00C51BA0">
              <w:rPr>
                <w:rFonts w:ascii="Times New Roman" w:hAnsi="Times New Roman" w:cs="Times New Roman"/>
                <w:color w:val="000000" w:themeColor="text1"/>
                <w:lang w:val="ro-MD"/>
              </w:rPr>
              <w:t xml:space="preserve"> instrumente de tip credit </w:t>
            </w:r>
            <w:proofErr w:type="spellStart"/>
            <w:r w:rsidRPr="00C51BA0">
              <w:rPr>
                <w:rFonts w:ascii="Times New Roman" w:hAnsi="Times New Roman" w:cs="Times New Roman"/>
                <w:color w:val="000000" w:themeColor="text1"/>
                <w:lang w:val="ro-MD"/>
              </w:rPr>
              <w:t>default</w:t>
            </w:r>
            <w:proofErr w:type="spellEnd"/>
            <w:r w:rsidRPr="00C51BA0">
              <w:rPr>
                <w:rFonts w:ascii="Times New Roman" w:hAnsi="Times New Roman" w:cs="Times New Roman"/>
                <w:color w:val="000000" w:themeColor="text1"/>
                <w:lang w:val="ro-MD"/>
              </w:rPr>
              <w:t xml:space="preserve"> </w:t>
            </w:r>
            <w:proofErr w:type="spellStart"/>
            <w:r w:rsidRPr="00C51BA0">
              <w:rPr>
                <w:rFonts w:ascii="Times New Roman" w:hAnsi="Times New Roman" w:cs="Times New Roman"/>
                <w:color w:val="000000" w:themeColor="text1"/>
                <w:lang w:val="ro-MD"/>
              </w:rPr>
              <w:t>swap</w:t>
            </w:r>
            <w:proofErr w:type="spellEnd"/>
            <w:r w:rsidRPr="00C51BA0">
              <w:rPr>
                <w:rFonts w:ascii="Times New Roman" w:hAnsi="Times New Roman" w:cs="Times New Roman"/>
                <w:color w:val="000000" w:themeColor="text1"/>
                <w:lang w:val="ro-MD"/>
              </w:rPr>
              <w:t xml:space="preserve"> sau alți indici compuși numai din instrumente de tip credit </w:t>
            </w:r>
            <w:proofErr w:type="spellStart"/>
            <w:r w:rsidRPr="00C51BA0">
              <w:rPr>
                <w:rFonts w:ascii="Times New Roman" w:hAnsi="Times New Roman" w:cs="Times New Roman"/>
                <w:color w:val="000000" w:themeColor="text1"/>
                <w:lang w:val="ro-MD"/>
              </w:rPr>
              <w:t>default</w:t>
            </w:r>
            <w:proofErr w:type="spellEnd"/>
            <w:r w:rsidRPr="00C51BA0">
              <w:rPr>
                <w:rFonts w:ascii="Times New Roman" w:hAnsi="Times New Roman" w:cs="Times New Roman"/>
                <w:color w:val="000000" w:themeColor="text1"/>
                <w:lang w:val="ro-MD"/>
              </w:rPr>
              <w:t xml:space="preserve"> </w:t>
            </w:r>
            <w:proofErr w:type="spellStart"/>
            <w:r w:rsidRPr="00C51BA0">
              <w:rPr>
                <w:rFonts w:ascii="Times New Roman" w:hAnsi="Times New Roman" w:cs="Times New Roman"/>
                <w:color w:val="000000" w:themeColor="text1"/>
                <w:lang w:val="ro-MD"/>
              </w:rPr>
              <w:t>swap</w:t>
            </w:r>
            <w:proofErr w:type="spellEnd"/>
            <w:r w:rsidRPr="00C51BA0">
              <w:rPr>
                <w:rFonts w:ascii="Times New Roman" w:hAnsi="Times New Roman" w:cs="Times New Roman"/>
                <w:color w:val="000000" w:themeColor="text1"/>
                <w:lang w:val="ro-MD"/>
              </w:rPr>
              <w:t>;</w:t>
            </w:r>
          </w:p>
          <w:p w14:paraId="1A9E1C8E" w14:textId="3F535B37" w:rsidR="001E1943" w:rsidRPr="00C25E6D" w:rsidRDefault="001E1943" w:rsidP="004635E0">
            <w:pPr>
              <w:spacing w:line="276" w:lineRule="auto"/>
              <w:jc w:val="both"/>
              <w:rPr>
                <w:rFonts w:ascii="Times New Roman" w:hAnsi="Times New Roman" w:cs="Times New Roman"/>
                <w:b/>
                <w:color w:val="000000" w:themeColor="text1"/>
                <w:lang w:val="ro-MD"/>
              </w:rPr>
            </w:pPr>
            <w:r>
              <w:rPr>
                <w:rFonts w:ascii="Times New Roman" w:hAnsi="Times New Roman" w:cs="Times New Roman"/>
                <w:color w:val="000000" w:themeColor="text1"/>
                <w:lang w:val="ro-MD"/>
              </w:rPr>
              <w:t>8.4.</w:t>
            </w:r>
            <w:r w:rsidRPr="00C51BA0">
              <w:rPr>
                <w:rFonts w:ascii="Times New Roman" w:hAnsi="Times New Roman" w:cs="Times New Roman"/>
                <w:color w:val="000000" w:themeColor="text1"/>
                <w:lang w:val="ro-MD"/>
              </w:rPr>
              <w:t xml:space="preserve"> mărfuri sau alți indici compuși numai din mărfuri.</w:t>
            </w:r>
            <w:bookmarkEnd w:id="12"/>
          </w:p>
        </w:tc>
        <w:tc>
          <w:tcPr>
            <w:tcW w:w="450" w:type="pct"/>
          </w:tcPr>
          <w:p w14:paraId="3EBA41D0" w14:textId="649ADDF0" w:rsidR="001E1943" w:rsidRPr="00C25E6D" w:rsidRDefault="00235B11" w:rsidP="007E64D8">
            <w:pPr>
              <w:spacing w:line="276" w:lineRule="auto"/>
              <w:rPr>
                <w:rFonts w:ascii="Times New Roman" w:hAnsi="Times New Roman" w:cs="Times New Roman"/>
                <w:color w:val="000000" w:themeColor="text1"/>
                <w:lang w:val="ro-MD"/>
              </w:rPr>
            </w:pPr>
            <w:r>
              <w:rPr>
                <w:rFonts w:ascii="Times New Roman" w:hAnsi="Times New Roman" w:cs="Times New Roman"/>
                <w:color w:val="000000" w:themeColor="text1"/>
                <w:lang w:val="ro-MD"/>
              </w:rPr>
              <w:t>compatibil</w:t>
            </w:r>
          </w:p>
        </w:tc>
        <w:tc>
          <w:tcPr>
            <w:tcW w:w="1261" w:type="pct"/>
          </w:tcPr>
          <w:p w14:paraId="0A7B9452" w14:textId="77777777" w:rsidR="001E1943" w:rsidRPr="00C25E6D" w:rsidRDefault="001E1943" w:rsidP="007E64D8">
            <w:pPr>
              <w:spacing w:line="276" w:lineRule="auto"/>
              <w:rPr>
                <w:rFonts w:ascii="Times New Roman" w:hAnsi="Times New Roman" w:cs="Times New Roman"/>
                <w:color w:val="000000" w:themeColor="text1"/>
                <w:lang w:val="ro-MD"/>
              </w:rPr>
            </w:pPr>
          </w:p>
        </w:tc>
      </w:tr>
      <w:tr w:rsidR="00C02C90" w:rsidRPr="00C02C90" w14:paraId="15F2910E" w14:textId="77777777" w:rsidTr="00FE2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1"/>
        </w:trPr>
        <w:tc>
          <w:tcPr>
            <w:tcW w:w="1597" w:type="pct"/>
          </w:tcPr>
          <w:p w14:paraId="2A35A91F" w14:textId="77777777" w:rsidR="00C02C90" w:rsidRPr="00E912EB" w:rsidRDefault="00C02C90" w:rsidP="004635E0">
            <w:pPr>
              <w:spacing w:line="276" w:lineRule="auto"/>
              <w:jc w:val="both"/>
              <w:rPr>
                <w:rFonts w:ascii="Times New Roman" w:hAnsi="Times New Roman" w:cs="Times New Roman"/>
                <w:color w:val="000000" w:themeColor="text1"/>
                <w:lang w:val="ro-MD"/>
              </w:rPr>
            </w:pPr>
            <w:r w:rsidRPr="00E912EB">
              <w:rPr>
                <w:rFonts w:ascii="Times New Roman" w:hAnsi="Times New Roman" w:cs="Times New Roman"/>
                <w:color w:val="000000" w:themeColor="text1"/>
                <w:lang w:val="ro-MD"/>
              </w:rPr>
              <w:lastRenderedPageBreak/>
              <w:t>(2) Orizontul de lichiditate al unui singur factor de risc care modelează un instrument-indice omogen, astfel cum se</w:t>
            </w:r>
            <w:r>
              <w:rPr>
                <w:rFonts w:ascii="Times New Roman" w:hAnsi="Times New Roman" w:cs="Times New Roman"/>
                <w:color w:val="000000" w:themeColor="text1"/>
                <w:lang w:val="ro-MD"/>
              </w:rPr>
              <w:t xml:space="preserve"> </w:t>
            </w:r>
            <w:r w:rsidRPr="00E912EB">
              <w:rPr>
                <w:rFonts w:ascii="Times New Roman" w:hAnsi="Times New Roman" w:cs="Times New Roman"/>
                <w:color w:val="000000" w:themeColor="text1"/>
                <w:lang w:val="ro-MD"/>
              </w:rPr>
              <w:t>menționează la alineatul (1), poate fi determinat de către o instituție după cum urmează:</w:t>
            </w:r>
          </w:p>
          <w:p w14:paraId="67A5D556" w14:textId="77777777" w:rsidR="00C02C90" w:rsidRPr="00E912EB" w:rsidRDefault="00C02C90" w:rsidP="004635E0">
            <w:pPr>
              <w:spacing w:after="0" w:line="240" w:lineRule="auto"/>
              <w:jc w:val="both"/>
              <w:rPr>
                <w:rFonts w:ascii="Times New Roman" w:hAnsi="Times New Roman" w:cs="Times New Roman"/>
                <w:color w:val="000000" w:themeColor="text1"/>
                <w:lang w:val="ro-MD"/>
              </w:rPr>
            </w:pPr>
            <w:r w:rsidRPr="00E912EB">
              <w:rPr>
                <w:rFonts w:ascii="Times New Roman" w:hAnsi="Times New Roman" w:cs="Times New Roman"/>
                <w:color w:val="000000" w:themeColor="text1"/>
                <w:lang w:val="ro-MD"/>
              </w:rPr>
              <w:t>(a) instituția încadrează factorul de risc în categoria generală de factori de risc menționată în tabelul 2 de la articolul 325bd</w:t>
            </w:r>
            <w:r>
              <w:rPr>
                <w:rFonts w:ascii="Times New Roman" w:hAnsi="Times New Roman" w:cs="Times New Roman"/>
                <w:color w:val="000000" w:themeColor="text1"/>
                <w:lang w:val="ro-MD"/>
              </w:rPr>
              <w:t xml:space="preserve"> </w:t>
            </w:r>
            <w:r w:rsidRPr="00E912EB">
              <w:rPr>
                <w:rFonts w:ascii="Times New Roman" w:hAnsi="Times New Roman" w:cs="Times New Roman"/>
                <w:color w:val="000000" w:themeColor="text1"/>
                <w:lang w:val="ro-MD"/>
              </w:rPr>
              <w:t>din Regulamentul (UE) nr. 575/2013 care corespunde categoriei adecvate pentru compoziția indicelui omogen;</w:t>
            </w:r>
          </w:p>
          <w:p w14:paraId="5FF64498" w14:textId="77777777" w:rsidR="00C02C90" w:rsidRPr="00E912EB" w:rsidRDefault="00C02C90" w:rsidP="004635E0">
            <w:pPr>
              <w:spacing w:after="0" w:line="240" w:lineRule="auto"/>
              <w:jc w:val="both"/>
              <w:rPr>
                <w:rFonts w:ascii="Times New Roman" w:hAnsi="Times New Roman" w:cs="Times New Roman"/>
                <w:color w:val="000000" w:themeColor="text1"/>
                <w:lang w:val="ro-MD"/>
              </w:rPr>
            </w:pPr>
            <w:r w:rsidRPr="00E912EB">
              <w:rPr>
                <w:rFonts w:ascii="Times New Roman" w:hAnsi="Times New Roman" w:cs="Times New Roman"/>
                <w:color w:val="000000" w:themeColor="text1"/>
                <w:lang w:val="ro-MD"/>
              </w:rPr>
              <w:t>(b) instituția aplică metodologia generală prevăzută la articolul 1 separat pentru fiecare dintre componentele indicelui</w:t>
            </w:r>
            <w:r>
              <w:rPr>
                <w:rFonts w:ascii="Times New Roman" w:hAnsi="Times New Roman" w:cs="Times New Roman"/>
                <w:color w:val="000000" w:themeColor="text1"/>
                <w:lang w:val="ro-MD"/>
              </w:rPr>
              <w:t xml:space="preserve"> </w:t>
            </w:r>
            <w:r w:rsidRPr="00E912EB">
              <w:rPr>
                <w:rFonts w:ascii="Times New Roman" w:hAnsi="Times New Roman" w:cs="Times New Roman"/>
                <w:color w:val="000000" w:themeColor="text1"/>
                <w:lang w:val="ro-MD"/>
              </w:rPr>
              <w:t>omogen pentru a determina orizonturile de lichiditate corespunzătoare ale acestora;</w:t>
            </w:r>
          </w:p>
          <w:p w14:paraId="05B25AD5" w14:textId="77777777" w:rsidR="00C02C90" w:rsidRPr="00E912EB" w:rsidRDefault="00C02C90" w:rsidP="004635E0">
            <w:pPr>
              <w:spacing w:after="0" w:line="240" w:lineRule="auto"/>
              <w:jc w:val="both"/>
              <w:rPr>
                <w:rFonts w:ascii="Times New Roman" w:hAnsi="Times New Roman" w:cs="Times New Roman"/>
                <w:color w:val="000000" w:themeColor="text1"/>
                <w:lang w:val="ro-MD"/>
              </w:rPr>
            </w:pPr>
            <w:r w:rsidRPr="00E912EB">
              <w:rPr>
                <w:rFonts w:ascii="Times New Roman" w:hAnsi="Times New Roman" w:cs="Times New Roman"/>
                <w:color w:val="000000" w:themeColor="text1"/>
                <w:lang w:val="ro-MD"/>
              </w:rPr>
              <w:t>(c) instituția calculează media ponderată a orizonturilor de lichiditate determinate în conformitate cu litera (b) pe baza</w:t>
            </w:r>
            <w:r>
              <w:rPr>
                <w:rFonts w:ascii="Times New Roman" w:hAnsi="Times New Roman" w:cs="Times New Roman"/>
                <w:color w:val="000000" w:themeColor="text1"/>
                <w:lang w:val="ro-MD"/>
              </w:rPr>
              <w:t xml:space="preserve"> </w:t>
            </w:r>
            <w:r w:rsidRPr="00E912EB">
              <w:rPr>
                <w:rFonts w:ascii="Times New Roman" w:hAnsi="Times New Roman" w:cs="Times New Roman"/>
                <w:color w:val="000000" w:themeColor="text1"/>
                <w:lang w:val="ro-MD"/>
              </w:rPr>
              <w:t>ponderii fiecărei componente în cadrul indicelui;</w:t>
            </w:r>
          </w:p>
          <w:p w14:paraId="2653482A" w14:textId="77777777" w:rsidR="00C02C90" w:rsidRPr="00E912EB" w:rsidRDefault="00C02C90" w:rsidP="004635E0">
            <w:pPr>
              <w:spacing w:after="0" w:line="240" w:lineRule="auto"/>
              <w:jc w:val="both"/>
              <w:rPr>
                <w:rFonts w:ascii="Times New Roman" w:hAnsi="Times New Roman" w:cs="Times New Roman"/>
                <w:color w:val="000000" w:themeColor="text1"/>
                <w:lang w:val="ro-MD"/>
              </w:rPr>
            </w:pPr>
            <w:r w:rsidRPr="006E71D7">
              <w:rPr>
                <w:rFonts w:ascii="Times New Roman" w:hAnsi="Times New Roman" w:cs="Times New Roman"/>
                <w:color w:val="000000" w:themeColor="text1"/>
                <w:lang w:val="ro-MD"/>
              </w:rPr>
              <w:t>(d) orizontul de lichiditate al factorilor de risc care modelează instrumentul-indice omogen este orizontul de lichiditate cel mai scurt al subcategoriilor componentelor indicelui care este mai mare sau egal cu media ponderată menționată la litera (c).</w:t>
            </w:r>
          </w:p>
          <w:p w14:paraId="464B290A" w14:textId="6404423B" w:rsidR="00C02C90" w:rsidRPr="00E912EB" w:rsidRDefault="00C02C90" w:rsidP="007E64D8">
            <w:pPr>
              <w:spacing w:line="276" w:lineRule="auto"/>
              <w:jc w:val="both"/>
              <w:rPr>
                <w:rFonts w:ascii="Times New Roman" w:hAnsi="Times New Roman" w:cs="Times New Roman"/>
                <w:color w:val="000000" w:themeColor="text1"/>
                <w:lang w:val="ro-MD"/>
              </w:rPr>
            </w:pPr>
            <w:r w:rsidRPr="00E912EB">
              <w:rPr>
                <w:rFonts w:ascii="Times New Roman" w:hAnsi="Times New Roman" w:cs="Times New Roman"/>
                <w:color w:val="000000" w:themeColor="text1"/>
                <w:lang w:val="ro-MD"/>
              </w:rPr>
              <w:t>În sensul literei (a), un factor de risc al unui instrument-indice omogen cu compoziția menționată la alineatul (1) literele (b)</w:t>
            </w:r>
            <w:r>
              <w:rPr>
                <w:rFonts w:ascii="Times New Roman" w:hAnsi="Times New Roman" w:cs="Times New Roman"/>
                <w:color w:val="000000" w:themeColor="text1"/>
                <w:lang w:val="ro-MD"/>
              </w:rPr>
              <w:t xml:space="preserve"> </w:t>
            </w:r>
            <w:r w:rsidRPr="00E912EB">
              <w:rPr>
                <w:rFonts w:ascii="Times New Roman" w:hAnsi="Times New Roman" w:cs="Times New Roman"/>
                <w:color w:val="000000" w:themeColor="text1"/>
                <w:lang w:val="ro-MD"/>
              </w:rPr>
              <w:t>și (c) este încadrat în categoria generală de factori de risc „Marjă de credit”.</w:t>
            </w:r>
          </w:p>
        </w:tc>
        <w:tc>
          <w:tcPr>
            <w:tcW w:w="1692" w:type="pct"/>
          </w:tcPr>
          <w:p w14:paraId="35D46DEB" w14:textId="2381779B" w:rsidR="00C02C90" w:rsidRPr="004635E0" w:rsidRDefault="00C02C90" w:rsidP="004635E0">
            <w:pPr>
              <w:spacing w:line="276" w:lineRule="auto"/>
              <w:jc w:val="both"/>
              <w:rPr>
                <w:rFonts w:ascii="Times New Roman" w:hAnsi="Times New Roman" w:cs="Times New Roman"/>
                <w:color w:val="000000" w:themeColor="text1"/>
                <w:lang w:val="ro-MD"/>
              </w:rPr>
            </w:pPr>
            <w:bookmarkStart w:id="13" w:name="_Hlk223694536"/>
            <w:r>
              <w:rPr>
                <w:rFonts w:ascii="Times New Roman" w:hAnsi="Times New Roman" w:cs="Times New Roman"/>
                <w:color w:val="000000" w:themeColor="text1"/>
                <w:lang w:val="ro-MD"/>
              </w:rPr>
              <w:t>9.</w:t>
            </w:r>
            <w:r w:rsidRPr="00E912EB">
              <w:rPr>
                <w:rFonts w:ascii="Times New Roman" w:hAnsi="Times New Roman" w:cs="Times New Roman"/>
                <w:color w:val="000000" w:themeColor="text1"/>
                <w:lang w:val="ro-MD"/>
              </w:rPr>
              <w:t xml:space="preserve"> Orizontul de lichiditate al unui singur factor de risc care modelează un instrument-indice omogen, astfel cum se</w:t>
            </w:r>
            <w:r>
              <w:rPr>
                <w:rFonts w:ascii="Times New Roman" w:hAnsi="Times New Roman" w:cs="Times New Roman"/>
                <w:color w:val="000000" w:themeColor="text1"/>
                <w:lang w:val="ro-MD"/>
              </w:rPr>
              <w:t xml:space="preserve"> </w:t>
            </w:r>
            <w:r w:rsidRPr="00E912EB">
              <w:rPr>
                <w:rFonts w:ascii="Times New Roman" w:hAnsi="Times New Roman" w:cs="Times New Roman"/>
                <w:color w:val="000000" w:themeColor="text1"/>
                <w:lang w:val="ro-MD"/>
              </w:rPr>
              <w:t>menționează la</w:t>
            </w:r>
            <w:r>
              <w:rPr>
                <w:rFonts w:ascii="Times New Roman" w:hAnsi="Times New Roman" w:cs="Times New Roman"/>
                <w:color w:val="000000" w:themeColor="text1"/>
                <w:lang w:val="ro-MD"/>
              </w:rPr>
              <w:t>pct.7-8</w:t>
            </w:r>
            <w:r w:rsidRPr="00E912EB">
              <w:rPr>
                <w:rFonts w:ascii="Times New Roman" w:hAnsi="Times New Roman" w:cs="Times New Roman"/>
                <w:color w:val="000000" w:themeColor="text1"/>
                <w:lang w:val="ro-MD"/>
              </w:rPr>
              <w:t xml:space="preserve">, poate fi determinat de către o </w:t>
            </w:r>
            <w:r>
              <w:rPr>
                <w:rFonts w:ascii="Times New Roman" w:hAnsi="Times New Roman" w:cs="Times New Roman"/>
                <w:color w:val="000000" w:themeColor="text1"/>
                <w:lang w:val="ro-MD"/>
              </w:rPr>
              <w:t>bancă</w:t>
            </w:r>
            <w:r w:rsidRPr="00E912EB">
              <w:rPr>
                <w:rFonts w:ascii="Times New Roman" w:hAnsi="Times New Roman" w:cs="Times New Roman"/>
                <w:color w:val="000000" w:themeColor="text1"/>
                <w:lang w:val="ro-MD"/>
              </w:rPr>
              <w:t xml:space="preserve"> după cum urmează:</w:t>
            </w:r>
          </w:p>
          <w:p w14:paraId="3189ADF5" w14:textId="1EEA3180" w:rsidR="00C02C90" w:rsidRPr="00E912EB" w:rsidRDefault="001A4DC3" w:rsidP="004635E0">
            <w:pPr>
              <w:spacing w:after="0"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9.1.</w:t>
            </w:r>
            <w:r w:rsidR="00C02C90" w:rsidRPr="00E912EB">
              <w:rPr>
                <w:rFonts w:ascii="Times New Roman" w:hAnsi="Times New Roman" w:cs="Times New Roman"/>
                <w:color w:val="000000" w:themeColor="text1"/>
                <w:lang w:val="ro-MD"/>
              </w:rPr>
              <w:t xml:space="preserve"> </w:t>
            </w:r>
            <w:r>
              <w:rPr>
                <w:rFonts w:ascii="Times New Roman" w:hAnsi="Times New Roman" w:cs="Times New Roman"/>
                <w:color w:val="000000" w:themeColor="text1"/>
                <w:lang w:val="ro-MD"/>
              </w:rPr>
              <w:t>banca</w:t>
            </w:r>
            <w:r w:rsidRPr="00E912EB">
              <w:rPr>
                <w:rFonts w:ascii="Times New Roman" w:hAnsi="Times New Roman" w:cs="Times New Roman"/>
                <w:color w:val="000000" w:themeColor="text1"/>
                <w:lang w:val="ro-MD"/>
              </w:rPr>
              <w:t xml:space="preserve"> </w:t>
            </w:r>
            <w:r w:rsidR="00C02C90" w:rsidRPr="00E912EB">
              <w:rPr>
                <w:rFonts w:ascii="Times New Roman" w:hAnsi="Times New Roman" w:cs="Times New Roman"/>
                <w:color w:val="000000" w:themeColor="text1"/>
                <w:lang w:val="ro-MD"/>
              </w:rPr>
              <w:t xml:space="preserve">încadrează factorul de risc în categoria generală de factori de risc menționată în tabelul 2 de la </w:t>
            </w:r>
            <w:r w:rsidRPr="001A4DC3">
              <w:rPr>
                <w:rFonts w:ascii="Times New Roman" w:hAnsi="Times New Roman" w:cs="Times New Roman"/>
                <w:color w:val="000000" w:themeColor="text1"/>
                <w:lang w:val="ro-MD"/>
              </w:rPr>
              <w:t xml:space="preserve">pct.361 </w:t>
            </w:r>
            <w:r>
              <w:rPr>
                <w:rFonts w:ascii="Times New Roman" w:hAnsi="Times New Roman" w:cs="Times New Roman"/>
                <w:color w:val="000000" w:themeColor="text1"/>
                <w:lang w:val="ro-MD"/>
              </w:rPr>
              <w:t>din Regulamentul</w:t>
            </w:r>
            <w:r w:rsidRPr="001C6706">
              <w:rPr>
                <w:lang w:val="ro-MD"/>
              </w:rPr>
              <w:t xml:space="preserve"> </w:t>
            </w:r>
            <w:r w:rsidRPr="001A4DC3">
              <w:rPr>
                <w:rFonts w:ascii="Times New Roman" w:hAnsi="Times New Roman" w:cs="Times New Roman"/>
                <w:color w:val="000000" w:themeColor="text1"/>
                <w:lang w:val="ro-MD"/>
              </w:rPr>
              <w:t>privind cerințe de fonduri proprii pentru riscul de piață</w:t>
            </w:r>
            <w:r>
              <w:rPr>
                <w:rFonts w:ascii="Times New Roman" w:hAnsi="Times New Roman" w:cs="Times New Roman"/>
                <w:color w:val="000000" w:themeColor="text1"/>
                <w:lang w:val="ro-MD"/>
              </w:rPr>
              <w:t xml:space="preserve"> </w:t>
            </w:r>
            <w:r w:rsidR="00C02C90" w:rsidRPr="00E912EB">
              <w:rPr>
                <w:rFonts w:ascii="Times New Roman" w:hAnsi="Times New Roman" w:cs="Times New Roman"/>
                <w:color w:val="000000" w:themeColor="text1"/>
                <w:lang w:val="ro-MD"/>
              </w:rPr>
              <w:t xml:space="preserve"> care corespunde categoriei adecvate pentru compoziția indicelui omogen;</w:t>
            </w:r>
          </w:p>
          <w:p w14:paraId="09E364D4" w14:textId="04D1744A" w:rsidR="00C02C90" w:rsidRPr="00E912EB" w:rsidRDefault="001A4DC3" w:rsidP="004635E0">
            <w:pPr>
              <w:spacing w:after="0"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9.2.</w:t>
            </w:r>
            <w:r w:rsidR="00C02C90" w:rsidRPr="00E912EB">
              <w:rPr>
                <w:rFonts w:ascii="Times New Roman" w:hAnsi="Times New Roman" w:cs="Times New Roman"/>
                <w:color w:val="000000" w:themeColor="text1"/>
                <w:lang w:val="ro-MD"/>
              </w:rPr>
              <w:t xml:space="preserve"> </w:t>
            </w:r>
            <w:r>
              <w:rPr>
                <w:rFonts w:ascii="Times New Roman" w:hAnsi="Times New Roman" w:cs="Times New Roman"/>
                <w:color w:val="000000" w:themeColor="text1"/>
                <w:lang w:val="ro-MD"/>
              </w:rPr>
              <w:t>banca</w:t>
            </w:r>
            <w:r w:rsidRPr="00E912EB">
              <w:rPr>
                <w:rFonts w:ascii="Times New Roman" w:hAnsi="Times New Roman" w:cs="Times New Roman"/>
                <w:color w:val="000000" w:themeColor="text1"/>
                <w:lang w:val="ro-MD"/>
              </w:rPr>
              <w:t xml:space="preserve"> </w:t>
            </w:r>
            <w:r w:rsidR="00C02C90" w:rsidRPr="00E912EB">
              <w:rPr>
                <w:rFonts w:ascii="Times New Roman" w:hAnsi="Times New Roman" w:cs="Times New Roman"/>
                <w:color w:val="000000" w:themeColor="text1"/>
                <w:lang w:val="ro-MD"/>
              </w:rPr>
              <w:t xml:space="preserve">aplică metodologia generală prevăzută la </w:t>
            </w:r>
            <w:r>
              <w:rPr>
                <w:rFonts w:ascii="Times New Roman" w:hAnsi="Times New Roman" w:cs="Times New Roman"/>
                <w:color w:val="000000" w:themeColor="text1"/>
                <w:lang w:val="ro-MD"/>
              </w:rPr>
              <w:t>subsecțiunea 1</w:t>
            </w:r>
            <w:r w:rsidR="00C02C90" w:rsidRPr="00E912EB">
              <w:rPr>
                <w:rFonts w:ascii="Times New Roman" w:hAnsi="Times New Roman" w:cs="Times New Roman"/>
                <w:color w:val="000000" w:themeColor="text1"/>
                <w:lang w:val="ro-MD"/>
              </w:rPr>
              <w:t xml:space="preserve"> separat pentru fiecare dintre componentele indicelui</w:t>
            </w:r>
            <w:r w:rsidR="00C02C90">
              <w:rPr>
                <w:rFonts w:ascii="Times New Roman" w:hAnsi="Times New Roman" w:cs="Times New Roman"/>
                <w:color w:val="000000" w:themeColor="text1"/>
                <w:lang w:val="ro-MD"/>
              </w:rPr>
              <w:t xml:space="preserve"> </w:t>
            </w:r>
            <w:r w:rsidR="00C02C90" w:rsidRPr="00E912EB">
              <w:rPr>
                <w:rFonts w:ascii="Times New Roman" w:hAnsi="Times New Roman" w:cs="Times New Roman"/>
                <w:color w:val="000000" w:themeColor="text1"/>
                <w:lang w:val="ro-MD"/>
              </w:rPr>
              <w:t>omogen pentru a determina orizonturile de lichiditate corespunzătoare ale acestora;</w:t>
            </w:r>
          </w:p>
          <w:p w14:paraId="739FBDCD" w14:textId="6EDBE9C0" w:rsidR="00C02C90" w:rsidRPr="00E912EB" w:rsidRDefault="001A4DC3" w:rsidP="004635E0">
            <w:pPr>
              <w:spacing w:after="0"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9.3.</w:t>
            </w:r>
            <w:r w:rsidR="00C02C90" w:rsidRPr="00E912EB">
              <w:rPr>
                <w:rFonts w:ascii="Times New Roman" w:hAnsi="Times New Roman" w:cs="Times New Roman"/>
                <w:color w:val="000000" w:themeColor="text1"/>
                <w:lang w:val="ro-MD"/>
              </w:rPr>
              <w:t xml:space="preserve"> </w:t>
            </w:r>
            <w:r>
              <w:rPr>
                <w:rFonts w:ascii="Times New Roman" w:hAnsi="Times New Roman" w:cs="Times New Roman"/>
                <w:color w:val="000000" w:themeColor="text1"/>
                <w:lang w:val="ro-MD"/>
              </w:rPr>
              <w:t>banca</w:t>
            </w:r>
            <w:r w:rsidRPr="00E912EB">
              <w:rPr>
                <w:rFonts w:ascii="Times New Roman" w:hAnsi="Times New Roman" w:cs="Times New Roman"/>
                <w:color w:val="000000" w:themeColor="text1"/>
                <w:lang w:val="ro-MD"/>
              </w:rPr>
              <w:t xml:space="preserve"> </w:t>
            </w:r>
            <w:r w:rsidR="00C02C90" w:rsidRPr="00E912EB">
              <w:rPr>
                <w:rFonts w:ascii="Times New Roman" w:hAnsi="Times New Roman" w:cs="Times New Roman"/>
                <w:color w:val="000000" w:themeColor="text1"/>
                <w:lang w:val="ro-MD"/>
              </w:rPr>
              <w:t xml:space="preserve">calculează media ponderată a orizonturilor de lichiditate determinate în conformitate cu </w:t>
            </w:r>
            <w:r>
              <w:rPr>
                <w:rFonts w:ascii="Times New Roman" w:hAnsi="Times New Roman" w:cs="Times New Roman"/>
                <w:color w:val="000000" w:themeColor="text1"/>
                <w:lang w:val="ro-MD"/>
              </w:rPr>
              <w:t>subpct.9.2</w:t>
            </w:r>
            <w:r w:rsidR="00C02C90" w:rsidRPr="00E912EB">
              <w:rPr>
                <w:rFonts w:ascii="Times New Roman" w:hAnsi="Times New Roman" w:cs="Times New Roman"/>
                <w:color w:val="000000" w:themeColor="text1"/>
                <w:lang w:val="ro-MD"/>
              </w:rPr>
              <w:t xml:space="preserve"> pe baza</w:t>
            </w:r>
            <w:r w:rsidR="00C02C90">
              <w:rPr>
                <w:rFonts w:ascii="Times New Roman" w:hAnsi="Times New Roman" w:cs="Times New Roman"/>
                <w:color w:val="000000" w:themeColor="text1"/>
                <w:lang w:val="ro-MD"/>
              </w:rPr>
              <w:t xml:space="preserve"> </w:t>
            </w:r>
            <w:r w:rsidR="00C02C90" w:rsidRPr="00E912EB">
              <w:rPr>
                <w:rFonts w:ascii="Times New Roman" w:hAnsi="Times New Roman" w:cs="Times New Roman"/>
                <w:color w:val="000000" w:themeColor="text1"/>
                <w:lang w:val="ro-MD"/>
              </w:rPr>
              <w:t>ponderii fiecărei componente în cadrul indicelui;</w:t>
            </w:r>
          </w:p>
          <w:p w14:paraId="524168CB" w14:textId="6A02DC1C" w:rsidR="00C02C90" w:rsidRPr="00E912EB" w:rsidRDefault="001A4DC3" w:rsidP="004635E0">
            <w:pPr>
              <w:spacing w:after="0" w:line="240"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9.4.</w:t>
            </w:r>
            <w:r w:rsidR="00C02C90" w:rsidRPr="006E71D7">
              <w:rPr>
                <w:rFonts w:ascii="Times New Roman" w:hAnsi="Times New Roman" w:cs="Times New Roman"/>
                <w:color w:val="000000" w:themeColor="text1"/>
                <w:lang w:val="ro-MD"/>
              </w:rPr>
              <w:t xml:space="preserve"> orizontul de lichiditate al factorilor de risc care modelează instrumentul-indice omogen este orizontul de lichiditate cel mai scurt al subcategoriilor componentelor indicelui care este mai mare sau egal cu media ponderată menționată la</w:t>
            </w:r>
            <w:r>
              <w:rPr>
                <w:rFonts w:ascii="Times New Roman" w:hAnsi="Times New Roman" w:cs="Times New Roman"/>
                <w:color w:val="000000" w:themeColor="text1"/>
                <w:lang w:val="ro-MD"/>
              </w:rPr>
              <w:t xml:space="preserve"> subpct.9.3</w:t>
            </w:r>
            <w:r w:rsidR="00C02C90" w:rsidRPr="006E71D7">
              <w:rPr>
                <w:rFonts w:ascii="Times New Roman" w:hAnsi="Times New Roman" w:cs="Times New Roman"/>
                <w:color w:val="000000" w:themeColor="text1"/>
                <w:lang w:val="ro-MD"/>
              </w:rPr>
              <w:t>.</w:t>
            </w:r>
          </w:p>
          <w:p w14:paraId="4C724644" w14:textId="0E0906DE" w:rsidR="00C02C90" w:rsidRPr="004635E0" w:rsidRDefault="00A80947" w:rsidP="004635E0">
            <w:pPr>
              <w:spacing w:line="276"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 xml:space="preserve">10. </w:t>
            </w:r>
            <w:r w:rsidR="00C02C90" w:rsidRPr="00E912EB">
              <w:rPr>
                <w:rFonts w:ascii="Times New Roman" w:hAnsi="Times New Roman" w:cs="Times New Roman"/>
                <w:color w:val="000000" w:themeColor="text1"/>
                <w:lang w:val="ro-MD"/>
              </w:rPr>
              <w:t>În sensul</w:t>
            </w:r>
            <w:r>
              <w:rPr>
                <w:rFonts w:ascii="Times New Roman" w:hAnsi="Times New Roman" w:cs="Times New Roman"/>
                <w:color w:val="000000" w:themeColor="text1"/>
                <w:lang w:val="ro-MD"/>
              </w:rPr>
              <w:t>subpct.9.1</w:t>
            </w:r>
            <w:r w:rsidR="00C02C90" w:rsidRPr="00E912EB">
              <w:rPr>
                <w:rFonts w:ascii="Times New Roman" w:hAnsi="Times New Roman" w:cs="Times New Roman"/>
                <w:color w:val="000000" w:themeColor="text1"/>
                <w:lang w:val="ro-MD"/>
              </w:rPr>
              <w:t xml:space="preserve">, un factor de risc al unui instrument-indice omogen cu compoziția menționată la </w:t>
            </w:r>
            <w:r>
              <w:rPr>
                <w:rFonts w:ascii="Times New Roman" w:hAnsi="Times New Roman" w:cs="Times New Roman"/>
                <w:color w:val="000000" w:themeColor="text1"/>
                <w:lang w:val="ro-MD"/>
              </w:rPr>
              <w:t>subpct.9.2 și 9.3</w:t>
            </w:r>
            <w:r w:rsidR="00C02C90" w:rsidRPr="00E912EB">
              <w:rPr>
                <w:rFonts w:ascii="Times New Roman" w:hAnsi="Times New Roman" w:cs="Times New Roman"/>
                <w:color w:val="000000" w:themeColor="text1"/>
                <w:lang w:val="ro-MD"/>
              </w:rPr>
              <w:t xml:space="preserve"> este încadrat în categoria generală de factori de risc „Marjă de credit”.</w:t>
            </w:r>
            <w:bookmarkEnd w:id="13"/>
          </w:p>
        </w:tc>
        <w:tc>
          <w:tcPr>
            <w:tcW w:w="450" w:type="pct"/>
          </w:tcPr>
          <w:p w14:paraId="56FE6C2E" w14:textId="6942F839" w:rsidR="00C02C90" w:rsidRPr="00C25E6D" w:rsidRDefault="00235B11" w:rsidP="007E64D8">
            <w:pPr>
              <w:spacing w:line="276" w:lineRule="auto"/>
              <w:rPr>
                <w:rFonts w:ascii="Times New Roman" w:hAnsi="Times New Roman" w:cs="Times New Roman"/>
                <w:color w:val="000000" w:themeColor="text1"/>
                <w:lang w:val="ro-MD"/>
              </w:rPr>
            </w:pPr>
            <w:r>
              <w:rPr>
                <w:rFonts w:ascii="Times New Roman" w:hAnsi="Times New Roman" w:cs="Times New Roman"/>
                <w:color w:val="000000" w:themeColor="text1"/>
                <w:lang w:val="ro-MD"/>
              </w:rPr>
              <w:t>compatibil</w:t>
            </w:r>
          </w:p>
        </w:tc>
        <w:tc>
          <w:tcPr>
            <w:tcW w:w="1261" w:type="pct"/>
          </w:tcPr>
          <w:p w14:paraId="7988F381" w14:textId="77777777" w:rsidR="00C02C90" w:rsidRPr="00C25E6D" w:rsidRDefault="00C02C90" w:rsidP="007E64D8">
            <w:pPr>
              <w:spacing w:line="276" w:lineRule="auto"/>
              <w:rPr>
                <w:rFonts w:ascii="Times New Roman" w:hAnsi="Times New Roman" w:cs="Times New Roman"/>
                <w:color w:val="000000" w:themeColor="text1"/>
                <w:lang w:val="ro-MD"/>
              </w:rPr>
            </w:pPr>
          </w:p>
        </w:tc>
      </w:tr>
      <w:tr w:rsidR="004635E0" w:rsidRPr="00D32658" w14:paraId="0695C7F8"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1163A1ED" w14:textId="3DC37FB8" w:rsidR="004635E0" w:rsidRPr="001B0475" w:rsidRDefault="004635E0" w:rsidP="004635E0">
            <w:pPr>
              <w:spacing w:line="276" w:lineRule="auto"/>
              <w:rPr>
                <w:rFonts w:ascii="Times New Roman" w:hAnsi="Times New Roman" w:cs="Times New Roman"/>
                <w:color w:val="000000" w:themeColor="text1"/>
                <w:lang w:val="ro-MD"/>
              </w:rPr>
            </w:pPr>
            <w:r w:rsidRPr="00E912EB">
              <w:rPr>
                <w:rFonts w:ascii="Times New Roman" w:hAnsi="Times New Roman" w:cs="Times New Roman"/>
                <w:color w:val="000000" w:themeColor="text1"/>
                <w:lang w:val="ro-MD"/>
              </w:rPr>
              <w:lastRenderedPageBreak/>
              <w:t>Articolul 3</w:t>
            </w:r>
            <w:r>
              <w:rPr>
                <w:rFonts w:ascii="Times New Roman" w:hAnsi="Times New Roman" w:cs="Times New Roman"/>
                <w:color w:val="000000" w:themeColor="text1"/>
                <w:lang w:val="ro-MD"/>
              </w:rPr>
              <w:t xml:space="preserve"> </w:t>
            </w:r>
            <w:r w:rsidRPr="00E912EB">
              <w:rPr>
                <w:rFonts w:ascii="Times New Roman" w:hAnsi="Times New Roman" w:cs="Times New Roman"/>
                <w:b/>
                <w:bCs/>
                <w:color w:val="000000" w:themeColor="text1"/>
                <w:lang w:val="ro-MD"/>
              </w:rPr>
              <w:t xml:space="preserve">Metodologia specifică pentru factorii de risc de inflație, de risc de bază </w:t>
            </w:r>
            <w:proofErr w:type="spellStart"/>
            <w:r w:rsidRPr="00E912EB">
              <w:rPr>
                <w:rFonts w:ascii="Times New Roman" w:hAnsi="Times New Roman" w:cs="Times New Roman"/>
                <w:b/>
                <w:bCs/>
                <w:color w:val="000000" w:themeColor="text1"/>
                <w:lang w:val="ro-MD"/>
              </w:rPr>
              <w:t>monovalutară</w:t>
            </w:r>
            <w:proofErr w:type="spellEnd"/>
            <w:r w:rsidRPr="00E912EB">
              <w:rPr>
                <w:rFonts w:ascii="Times New Roman" w:hAnsi="Times New Roman" w:cs="Times New Roman"/>
                <w:b/>
                <w:bCs/>
                <w:color w:val="000000" w:themeColor="text1"/>
                <w:lang w:val="ro-MD"/>
              </w:rPr>
              <w:t xml:space="preserve"> și </w:t>
            </w:r>
            <w:proofErr w:type="spellStart"/>
            <w:r w:rsidRPr="00E912EB">
              <w:rPr>
                <w:rFonts w:ascii="Times New Roman" w:hAnsi="Times New Roman" w:cs="Times New Roman"/>
                <w:b/>
                <w:bCs/>
                <w:color w:val="000000" w:themeColor="text1"/>
                <w:lang w:val="ro-MD"/>
              </w:rPr>
              <w:t>intervalutară</w:t>
            </w:r>
            <w:proofErr w:type="spellEnd"/>
          </w:p>
        </w:tc>
        <w:tc>
          <w:tcPr>
            <w:tcW w:w="1692" w:type="pct"/>
          </w:tcPr>
          <w:p w14:paraId="3647C55C" w14:textId="2936720B" w:rsidR="004635E0" w:rsidRPr="00C25E6D" w:rsidRDefault="00404045" w:rsidP="004635E0">
            <w:pPr>
              <w:spacing w:line="276" w:lineRule="auto"/>
              <w:jc w:val="both"/>
              <w:rPr>
                <w:rFonts w:ascii="Times New Roman" w:hAnsi="Times New Roman" w:cs="Times New Roman"/>
                <w:b/>
                <w:color w:val="000000" w:themeColor="text1"/>
                <w:lang w:val="ro-MD"/>
              </w:rPr>
            </w:pPr>
            <w:bookmarkStart w:id="14" w:name="_Hlk223694562"/>
            <w:r w:rsidRPr="00404045">
              <w:rPr>
                <w:rFonts w:ascii="Times New Roman" w:hAnsi="Times New Roman" w:cs="Times New Roman"/>
                <w:color w:val="000000" w:themeColor="text1"/>
                <w:lang w:val="ro-MD"/>
              </w:rPr>
              <w:t xml:space="preserve">Subsecțiunea </w:t>
            </w:r>
            <w:r>
              <w:rPr>
                <w:rFonts w:ascii="Times New Roman" w:hAnsi="Times New Roman" w:cs="Times New Roman"/>
                <w:color w:val="000000" w:themeColor="text1"/>
                <w:lang w:val="ro-MD"/>
              </w:rPr>
              <w:t>3</w:t>
            </w:r>
            <w:r w:rsidRPr="00404045">
              <w:rPr>
                <w:rFonts w:ascii="Times New Roman" w:hAnsi="Times New Roman" w:cs="Times New Roman"/>
                <w:color w:val="000000" w:themeColor="text1"/>
                <w:lang w:val="ro-MD"/>
              </w:rPr>
              <w:t xml:space="preserve">. </w:t>
            </w:r>
            <w:r w:rsidR="004635E0">
              <w:rPr>
                <w:rFonts w:ascii="Times New Roman" w:hAnsi="Times New Roman" w:cs="Times New Roman"/>
                <w:color w:val="000000" w:themeColor="text1"/>
                <w:lang w:val="ro-MD"/>
              </w:rPr>
              <w:t xml:space="preserve"> </w:t>
            </w:r>
            <w:r w:rsidR="004635E0" w:rsidRPr="00E912EB">
              <w:rPr>
                <w:rFonts w:ascii="Times New Roman" w:hAnsi="Times New Roman" w:cs="Times New Roman"/>
                <w:b/>
                <w:bCs/>
                <w:color w:val="000000" w:themeColor="text1"/>
                <w:lang w:val="ro-MD"/>
              </w:rPr>
              <w:t xml:space="preserve">Metodologia specifică pentru factorii de risc de inflație, de risc de bază </w:t>
            </w:r>
            <w:proofErr w:type="spellStart"/>
            <w:r w:rsidR="004635E0" w:rsidRPr="00E912EB">
              <w:rPr>
                <w:rFonts w:ascii="Times New Roman" w:hAnsi="Times New Roman" w:cs="Times New Roman"/>
                <w:b/>
                <w:bCs/>
                <w:color w:val="000000" w:themeColor="text1"/>
                <w:lang w:val="ro-MD"/>
              </w:rPr>
              <w:t>monovalutară</w:t>
            </w:r>
            <w:proofErr w:type="spellEnd"/>
            <w:r w:rsidR="004635E0" w:rsidRPr="00E912EB">
              <w:rPr>
                <w:rFonts w:ascii="Times New Roman" w:hAnsi="Times New Roman" w:cs="Times New Roman"/>
                <w:b/>
                <w:bCs/>
                <w:color w:val="000000" w:themeColor="text1"/>
                <w:lang w:val="ro-MD"/>
              </w:rPr>
              <w:t xml:space="preserve"> și </w:t>
            </w:r>
            <w:proofErr w:type="spellStart"/>
            <w:r w:rsidR="004635E0" w:rsidRPr="00E912EB">
              <w:rPr>
                <w:rFonts w:ascii="Times New Roman" w:hAnsi="Times New Roman" w:cs="Times New Roman"/>
                <w:b/>
                <w:bCs/>
                <w:color w:val="000000" w:themeColor="text1"/>
                <w:lang w:val="ro-MD"/>
              </w:rPr>
              <w:t>intervalutară</w:t>
            </w:r>
            <w:bookmarkEnd w:id="14"/>
            <w:proofErr w:type="spellEnd"/>
          </w:p>
        </w:tc>
        <w:tc>
          <w:tcPr>
            <w:tcW w:w="450" w:type="pct"/>
          </w:tcPr>
          <w:p w14:paraId="7A6B201A" w14:textId="77777777" w:rsidR="004635E0" w:rsidRPr="00C25E6D" w:rsidRDefault="004635E0" w:rsidP="004635E0">
            <w:pPr>
              <w:spacing w:line="276" w:lineRule="auto"/>
              <w:rPr>
                <w:rFonts w:ascii="Times New Roman" w:hAnsi="Times New Roman" w:cs="Times New Roman"/>
                <w:color w:val="000000" w:themeColor="text1"/>
                <w:lang w:val="ro-MD"/>
              </w:rPr>
            </w:pPr>
          </w:p>
        </w:tc>
        <w:tc>
          <w:tcPr>
            <w:tcW w:w="1261" w:type="pct"/>
          </w:tcPr>
          <w:p w14:paraId="7ABB82CC" w14:textId="77777777" w:rsidR="004635E0" w:rsidRPr="00C25E6D" w:rsidRDefault="004635E0" w:rsidP="004635E0">
            <w:pPr>
              <w:spacing w:line="276" w:lineRule="auto"/>
              <w:rPr>
                <w:rFonts w:ascii="Times New Roman" w:hAnsi="Times New Roman" w:cs="Times New Roman"/>
                <w:color w:val="000000" w:themeColor="text1"/>
                <w:lang w:val="ro-MD"/>
              </w:rPr>
            </w:pPr>
          </w:p>
        </w:tc>
      </w:tr>
      <w:tr w:rsidR="004635E0" w:rsidRPr="001E1943" w14:paraId="72F69A8B"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4CBB7410" w14:textId="69E58821" w:rsidR="004635E0" w:rsidRPr="001B0475" w:rsidRDefault="004635E0" w:rsidP="004635E0">
            <w:pPr>
              <w:spacing w:line="276" w:lineRule="auto"/>
              <w:jc w:val="both"/>
              <w:rPr>
                <w:rFonts w:ascii="Times New Roman" w:hAnsi="Times New Roman" w:cs="Times New Roman"/>
                <w:color w:val="000000" w:themeColor="text1"/>
                <w:lang w:val="ro-MD"/>
              </w:rPr>
            </w:pPr>
            <w:r w:rsidRPr="00E912EB">
              <w:rPr>
                <w:rFonts w:ascii="Times New Roman" w:hAnsi="Times New Roman" w:cs="Times New Roman"/>
                <w:color w:val="000000" w:themeColor="text1"/>
                <w:lang w:val="ro-MD"/>
              </w:rPr>
              <w:t>(1) Prin derogare de la articolul 1, instituțiile încadrează factorii de risc de inflație pentru o monedă dată în categoria</w:t>
            </w:r>
            <w:r>
              <w:rPr>
                <w:rFonts w:ascii="Times New Roman" w:hAnsi="Times New Roman" w:cs="Times New Roman"/>
                <w:color w:val="000000" w:themeColor="text1"/>
                <w:lang w:val="ro-MD"/>
              </w:rPr>
              <w:t xml:space="preserve"> </w:t>
            </w:r>
            <w:r w:rsidRPr="00E912EB">
              <w:rPr>
                <w:rFonts w:ascii="Times New Roman" w:hAnsi="Times New Roman" w:cs="Times New Roman"/>
                <w:color w:val="000000" w:themeColor="text1"/>
                <w:lang w:val="ro-MD"/>
              </w:rPr>
              <w:t>generală de factori de risc „Rata dobânzii” și în subcategoria generală de factori de risc aferentă monedei respective.</w:t>
            </w:r>
          </w:p>
        </w:tc>
        <w:tc>
          <w:tcPr>
            <w:tcW w:w="1692" w:type="pct"/>
          </w:tcPr>
          <w:p w14:paraId="4E606B4B" w14:textId="586C1A54" w:rsidR="004635E0" w:rsidRPr="00C25E6D" w:rsidRDefault="00A80947" w:rsidP="004635E0">
            <w:pPr>
              <w:spacing w:line="276" w:lineRule="auto"/>
              <w:jc w:val="both"/>
              <w:rPr>
                <w:rFonts w:ascii="Times New Roman" w:hAnsi="Times New Roman" w:cs="Times New Roman"/>
                <w:b/>
                <w:color w:val="000000" w:themeColor="text1"/>
                <w:lang w:val="ro-MD"/>
              </w:rPr>
            </w:pPr>
            <w:bookmarkStart w:id="15" w:name="_Hlk223695626"/>
            <w:r>
              <w:rPr>
                <w:rFonts w:ascii="Times New Roman" w:hAnsi="Times New Roman" w:cs="Times New Roman"/>
                <w:color w:val="000000" w:themeColor="text1"/>
                <w:lang w:val="ro-MD"/>
              </w:rPr>
              <w:t>11.</w:t>
            </w:r>
            <w:r w:rsidR="004635E0" w:rsidRPr="00E912EB">
              <w:rPr>
                <w:rFonts w:ascii="Times New Roman" w:hAnsi="Times New Roman" w:cs="Times New Roman"/>
                <w:color w:val="000000" w:themeColor="text1"/>
                <w:lang w:val="ro-MD"/>
              </w:rPr>
              <w:t xml:space="preserve"> Prin derogare de la </w:t>
            </w:r>
            <w:r w:rsidR="0001399F">
              <w:rPr>
                <w:rFonts w:ascii="Times New Roman" w:hAnsi="Times New Roman" w:cs="Times New Roman"/>
                <w:color w:val="000000" w:themeColor="text1"/>
                <w:lang w:val="ro-MD"/>
              </w:rPr>
              <w:t>subsecțiunea 1</w:t>
            </w:r>
            <w:r w:rsidR="004635E0" w:rsidRPr="00E912EB">
              <w:rPr>
                <w:rFonts w:ascii="Times New Roman" w:hAnsi="Times New Roman" w:cs="Times New Roman"/>
                <w:color w:val="000000" w:themeColor="text1"/>
                <w:lang w:val="ro-MD"/>
              </w:rPr>
              <w:t xml:space="preserve">, </w:t>
            </w:r>
            <w:r w:rsidR="0001399F">
              <w:rPr>
                <w:rFonts w:ascii="Times New Roman" w:hAnsi="Times New Roman" w:cs="Times New Roman"/>
                <w:color w:val="000000" w:themeColor="text1"/>
                <w:lang w:val="ro-MD"/>
              </w:rPr>
              <w:t>băncile</w:t>
            </w:r>
            <w:r w:rsidR="0001399F" w:rsidRPr="00E912EB">
              <w:rPr>
                <w:rFonts w:ascii="Times New Roman" w:hAnsi="Times New Roman" w:cs="Times New Roman"/>
                <w:color w:val="000000" w:themeColor="text1"/>
                <w:lang w:val="ro-MD"/>
              </w:rPr>
              <w:t xml:space="preserve"> </w:t>
            </w:r>
            <w:r w:rsidR="004635E0" w:rsidRPr="00E912EB">
              <w:rPr>
                <w:rFonts w:ascii="Times New Roman" w:hAnsi="Times New Roman" w:cs="Times New Roman"/>
                <w:color w:val="000000" w:themeColor="text1"/>
                <w:lang w:val="ro-MD"/>
              </w:rPr>
              <w:t>încadrează factorii de risc de inflație pentru o monedă dată în categoria</w:t>
            </w:r>
            <w:r w:rsidR="004635E0">
              <w:rPr>
                <w:rFonts w:ascii="Times New Roman" w:hAnsi="Times New Roman" w:cs="Times New Roman"/>
                <w:color w:val="000000" w:themeColor="text1"/>
                <w:lang w:val="ro-MD"/>
              </w:rPr>
              <w:t xml:space="preserve"> </w:t>
            </w:r>
            <w:r w:rsidR="004635E0" w:rsidRPr="00E912EB">
              <w:rPr>
                <w:rFonts w:ascii="Times New Roman" w:hAnsi="Times New Roman" w:cs="Times New Roman"/>
                <w:color w:val="000000" w:themeColor="text1"/>
                <w:lang w:val="ro-MD"/>
              </w:rPr>
              <w:t>generală de factori de risc „Rata dobânzii” și în subcategoria generală de factori de risc aferentă monedei respective.</w:t>
            </w:r>
            <w:bookmarkEnd w:id="15"/>
          </w:p>
        </w:tc>
        <w:tc>
          <w:tcPr>
            <w:tcW w:w="450" w:type="pct"/>
          </w:tcPr>
          <w:p w14:paraId="64010226" w14:textId="2C0479B8" w:rsidR="004635E0" w:rsidRPr="00C25E6D" w:rsidRDefault="00235B11" w:rsidP="004635E0">
            <w:pPr>
              <w:spacing w:line="276" w:lineRule="auto"/>
              <w:rPr>
                <w:rFonts w:ascii="Times New Roman" w:hAnsi="Times New Roman" w:cs="Times New Roman"/>
                <w:color w:val="000000" w:themeColor="text1"/>
                <w:lang w:val="ro-MD"/>
              </w:rPr>
            </w:pPr>
            <w:r>
              <w:rPr>
                <w:rFonts w:ascii="Times New Roman" w:hAnsi="Times New Roman" w:cs="Times New Roman"/>
                <w:color w:val="000000" w:themeColor="text1"/>
                <w:lang w:val="ro-MD"/>
              </w:rPr>
              <w:t>compatibil</w:t>
            </w:r>
          </w:p>
        </w:tc>
        <w:tc>
          <w:tcPr>
            <w:tcW w:w="1261" w:type="pct"/>
          </w:tcPr>
          <w:p w14:paraId="15BC46D8" w14:textId="77777777" w:rsidR="004635E0" w:rsidRPr="00C25E6D" w:rsidRDefault="004635E0" w:rsidP="004635E0">
            <w:pPr>
              <w:spacing w:line="276" w:lineRule="auto"/>
              <w:rPr>
                <w:rFonts w:ascii="Times New Roman" w:hAnsi="Times New Roman" w:cs="Times New Roman"/>
                <w:color w:val="000000" w:themeColor="text1"/>
                <w:lang w:val="ro-MD"/>
              </w:rPr>
            </w:pPr>
          </w:p>
        </w:tc>
      </w:tr>
      <w:tr w:rsidR="004635E0" w:rsidRPr="001E1943" w14:paraId="09E82282"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4AD8B342" w14:textId="50AECD9B" w:rsidR="004635E0" w:rsidRPr="001B0475" w:rsidRDefault="004635E0" w:rsidP="004635E0">
            <w:pPr>
              <w:spacing w:line="276" w:lineRule="auto"/>
              <w:jc w:val="both"/>
              <w:rPr>
                <w:rFonts w:ascii="Times New Roman" w:hAnsi="Times New Roman" w:cs="Times New Roman"/>
                <w:color w:val="000000" w:themeColor="text1"/>
                <w:lang w:val="ro-MD"/>
              </w:rPr>
            </w:pPr>
            <w:r w:rsidRPr="00E912EB">
              <w:rPr>
                <w:rFonts w:ascii="Times New Roman" w:hAnsi="Times New Roman" w:cs="Times New Roman"/>
                <w:color w:val="000000" w:themeColor="text1"/>
                <w:lang w:val="ro-MD"/>
              </w:rPr>
              <w:t>(2) Prin derogare de la articolul 1, instituțiile</w:t>
            </w:r>
            <w:r>
              <w:rPr>
                <w:rFonts w:ascii="Times New Roman" w:hAnsi="Times New Roman" w:cs="Times New Roman"/>
                <w:color w:val="000000" w:themeColor="text1"/>
                <w:lang w:val="ro-MD"/>
              </w:rPr>
              <w:t xml:space="preserve"> </w:t>
            </w:r>
            <w:r w:rsidRPr="00E912EB">
              <w:rPr>
                <w:rFonts w:ascii="Times New Roman" w:hAnsi="Times New Roman" w:cs="Times New Roman"/>
                <w:color w:val="000000" w:themeColor="text1"/>
                <w:lang w:val="ro-MD"/>
              </w:rPr>
              <w:t xml:space="preserve">încadrează factorii de risc de bază </w:t>
            </w:r>
            <w:proofErr w:type="spellStart"/>
            <w:r w:rsidRPr="00E912EB">
              <w:rPr>
                <w:rFonts w:ascii="Times New Roman" w:hAnsi="Times New Roman" w:cs="Times New Roman"/>
                <w:color w:val="000000" w:themeColor="text1"/>
                <w:lang w:val="ro-MD"/>
              </w:rPr>
              <w:t>monovalutară</w:t>
            </w:r>
            <w:proofErr w:type="spellEnd"/>
            <w:r w:rsidRPr="00E912EB">
              <w:rPr>
                <w:rFonts w:ascii="Times New Roman" w:hAnsi="Times New Roman" w:cs="Times New Roman"/>
                <w:color w:val="000000" w:themeColor="text1"/>
                <w:lang w:val="ro-MD"/>
              </w:rPr>
              <w:t xml:space="preserve"> și factorii de risc de bază</w:t>
            </w:r>
            <w:r>
              <w:rPr>
                <w:rFonts w:ascii="Times New Roman" w:hAnsi="Times New Roman" w:cs="Times New Roman"/>
                <w:color w:val="000000" w:themeColor="text1"/>
                <w:lang w:val="ro-MD"/>
              </w:rPr>
              <w:t xml:space="preserve"> </w:t>
            </w:r>
            <w:proofErr w:type="spellStart"/>
            <w:r w:rsidRPr="00E912EB">
              <w:rPr>
                <w:rFonts w:ascii="Times New Roman" w:hAnsi="Times New Roman" w:cs="Times New Roman"/>
                <w:color w:val="000000" w:themeColor="text1"/>
                <w:lang w:val="ro-MD"/>
              </w:rPr>
              <w:t>intervalutară</w:t>
            </w:r>
            <w:proofErr w:type="spellEnd"/>
            <w:r w:rsidRPr="00E912EB">
              <w:rPr>
                <w:rFonts w:ascii="Times New Roman" w:hAnsi="Times New Roman" w:cs="Times New Roman"/>
                <w:color w:val="000000" w:themeColor="text1"/>
                <w:lang w:val="ro-MD"/>
              </w:rPr>
              <w:t xml:space="preserve"> în categoria generală de factori de risc „Rata dobânzii” și în subcategoria generală de factori de risc aferentă</w:t>
            </w:r>
            <w:r>
              <w:rPr>
                <w:rFonts w:ascii="Times New Roman" w:hAnsi="Times New Roman" w:cs="Times New Roman"/>
                <w:color w:val="000000" w:themeColor="text1"/>
                <w:lang w:val="ro-MD"/>
              </w:rPr>
              <w:t xml:space="preserve"> </w:t>
            </w:r>
            <w:r w:rsidRPr="00E912EB">
              <w:rPr>
                <w:rFonts w:ascii="Times New Roman" w:hAnsi="Times New Roman" w:cs="Times New Roman"/>
                <w:color w:val="000000" w:themeColor="text1"/>
                <w:lang w:val="ro-MD"/>
              </w:rPr>
              <w:t>monedei în care este denominată baza.</w:t>
            </w:r>
          </w:p>
        </w:tc>
        <w:tc>
          <w:tcPr>
            <w:tcW w:w="1692" w:type="pct"/>
          </w:tcPr>
          <w:p w14:paraId="7661D91E" w14:textId="760313CB" w:rsidR="004635E0" w:rsidRPr="00C25E6D" w:rsidRDefault="0001399F" w:rsidP="004635E0">
            <w:pPr>
              <w:spacing w:line="276" w:lineRule="auto"/>
              <w:jc w:val="both"/>
              <w:rPr>
                <w:rFonts w:ascii="Times New Roman" w:hAnsi="Times New Roman" w:cs="Times New Roman"/>
                <w:b/>
                <w:color w:val="000000" w:themeColor="text1"/>
                <w:lang w:val="ro-MD"/>
              </w:rPr>
            </w:pPr>
            <w:bookmarkStart w:id="16" w:name="_Hlk223695653"/>
            <w:r>
              <w:rPr>
                <w:rFonts w:ascii="Times New Roman" w:hAnsi="Times New Roman" w:cs="Times New Roman"/>
                <w:color w:val="000000" w:themeColor="text1"/>
                <w:lang w:val="ro-MD"/>
              </w:rPr>
              <w:t>12.</w:t>
            </w:r>
            <w:r w:rsidR="004635E0" w:rsidRPr="00E912EB">
              <w:rPr>
                <w:rFonts w:ascii="Times New Roman" w:hAnsi="Times New Roman" w:cs="Times New Roman"/>
                <w:color w:val="000000" w:themeColor="text1"/>
                <w:lang w:val="ro-MD"/>
              </w:rPr>
              <w:t xml:space="preserve"> Prin derogare de la </w:t>
            </w:r>
            <w:r w:rsidRPr="0001399F">
              <w:rPr>
                <w:rFonts w:ascii="Times New Roman" w:hAnsi="Times New Roman" w:cs="Times New Roman"/>
                <w:color w:val="000000" w:themeColor="text1"/>
                <w:lang w:val="ro-MD"/>
              </w:rPr>
              <w:t>subsecțiunea 1</w:t>
            </w:r>
            <w:r w:rsidR="004635E0" w:rsidRPr="00E912EB">
              <w:rPr>
                <w:rFonts w:ascii="Times New Roman" w:hAnsi="Times New Roman" w:cs="Times New Roman"/>
                <w:color w:val="000000" w:themeColor="text1"/>
                <w:lang w:val="ro-MD"/>
              </w:rPr>
              <w:t xml:space="preserve">, </w:t>
            </w:r>
            <w:r>
              <w:rPr>
                <w:rFonts w:ascii="Times New Roman" w:hAnsi="Times New Roman" w:cs="Times New Roman"/>
                <w:color w:val="000000" w:themeColor="text1"/>
                <w:lang w:val="ro-MD"/>
              </w:rPr>
              <w:t xml:space="preserve">băncile </w:t>
            </w:r>
            <w:r w:rsidR="004635E0" w:rsidRPr="00E912EB">
              <w:rPr>
                <w:rFonts w:ascii="Times New Roman" w:hAnsi="Times New Roman" w:cs="Times New Roman"/>
                <w:color w:val="000000" w:themeColor="text1"/>
                <w:lang w:val="ro-MD"/>
              </w:rPr>
              <w:t xml:space="preserve">încadrează factorii de risc de bază </w:t>
            </w:r>
            <w:proofErr w:type="spellStart"/>
            <w:r w:rsidR="004635E0" w:rsidRPr="00E912EB">
              <w:rPr>
                <w:rFonts w:ascii="Times New Roman" w:hAnsi="Times New Roman" w:cs="Times New Roman"/>
                <w:color w:val="000000" w:themeColor="text1"/>
                <w:lang w:val="ro-MD"/>
              </w:rPr>
              <w:t>monovalutară</w:t>
            </w:r>
            <w:proofErr w:type="spellEnd"/>
            <w:r w:rsidR="004635E0" w:rsidRPr="00E912EB">
              <w:rPr>
                <w:rFonts w:ascii="Times New Roman" w:hAnsi="Times New Roman" w:cs="Times New Roman"/>
                <w:color w:val="000000" w:themeColor="text1"/>
                <w:lang w:val="ro-MD"/>
              </w:rPr>
              <w:t xml:space="preserve"> și factorii de risc de bază</w:t>
            </w:r>
            <w:r w:rsidR="004635E0">
              <w:rPr>
                <w:rFonts w:ascii="Times New Roman" w:hAnsi="Times New Roman" w:cs="Times New Roman"/>
                <w:color w:val="000000" w:themeColor="text1"/>
                <w:lang w:val="ro-MD"/>
              </w:rPr>
              <w:t xml:space="preserve"> </w:t>
            </w:r>
            <w:proofErr w:type="spellStart"/>
            <w:r w:rsidR="004635E0" w:rsidRPr="00E912EB">
              <w:rPr>
                <w:rFonts w:ascii="Times New Roman" w:hAnsi="Times New Roman" w:cs="Times New Roman"/>
                <w:color w:val="000000" w:themeColor="text1"/>
                <w:lang w:val="ro-MD"/>
              </w:rPr>
              <w:t>intervalutară</w:t>
            </w:r>
            <w:proofErr w:type="spellEnd"/>
            <w:r w:rsidR="004635E0" w:rsidRPr="00E912EB">
              <w:rPr>
                <w:rFonts w:ascii="Times New Roman" w:hAnsi="Times New Roman" w:cs="Times New Roman"/>
                <w:color w:val="000000" w:themeColor="text1"/>
                <w:lang w:val="ro-MD"/>
              </w:rPr>
              <w:t xml:space="preserve"> în categoria generală de factori de risc „Rata dobânzii” și în subcategoria generală de factori de risc aferentă</w:t>
            </w:r>
            <w:r w:rsidR="004635E0">
              <w:rPr>
                <w:rFonts w:ascii="Times New Roman" w:hAnsi="Times New Roman" w:cs="Times New Roman"/>
                <w:color w:val="000000" w:themeColor="text1"/>
                <w:lang w:val="ro-MD"/>
              </w:rPr>
              <w:t xml:space="preserve"> </w:t>
            </w:r>
            <w:r w:rsidR="004635E0" w:rsidRPr="00E912EB">
              <w:rPr>
                <w:rFonts w:ascii="Times New Roman" w:hAnsi="Times New Roman" w:cs="Times New Roman"/>
                <w:color w:val="000000" w:themeColor="text1"/>
                <w:lang w:val="ro-MD"/>
              </w:rPr>
              <w:t>monedei în care este denominată baza.</w:t>
            </w:r>
            <w:bookmarkEnd w:id="16"/>
          </w:p>
        </w:tc>
        <w:tc>
          <w:tcPr>
            <w:tcW w:w="450" w:type="pct"/>
          </w:tcPr>
          <w:p w14:paraId="22D3548D" w14:textId="6FECE29E" w:rsidR="004635E0" w:rsidRPr="00C25E6D" w:rsidRDefault="00235B11" w:rsidP="004635E0">
            <w:pPr>
              <w:spacing w:line="276" w:lineRule="auto"/>
              <w:rPr>
                <w:rFonts w:ascii="Times New Roman" w:hAnsi="Times New Roman" w:cs="Times New Roman"/>
                <w:color w:val="000000" w:themeColor="text1"/>
                <w:lang w:val="ro-MD"/>
              </w:rPr>
            </w:pPr>
            <w:r>
              <w:rPr>
                <w:rFonts w:ascii="Times New Roman" w:hAnsi="Times New Roman" w:cs="Times New Roman"/>
                <w:color w:val="000000" w:themeColor="text1"/>
                <w:lang w:val="ro-MD"/>
              </w:rPr>
              <w:t>compatibil</w:t>
            </w:r>
          </w:p>
        </w:tc>
        <w:tc>
          <w:tcPr>
            <w:tcW w:w="1261" w:type="pct"/>
          </w:tcPr>
          <w:p w14:paraId="205F7A6B" w14:textId="77777777" w:rsidR="004635E0" w:rsidRPr="00C25E6D" w:rsidRDefault="004635E0" w:rsidP="004635E0">
            <w:pPr>
              <w:spacing w:line="276" w:lineRule="auto"/>
              <w:rPr>
                <w:rFonts w:ascii="Times New Roman" w:hAnsi="Times New Roman" w:cs="Times New Roman"/>
                <w:color w:val="000000" w:themeColor="text1"/>
                <w:lang w:val="ro-MD"/>
              </w:rPr>
            </w:pPr>
          </w:p>
        </w:tc>
      </w:tr>
      <w:tr w:rsidR="004635E0" w:rsidRPr="00D32658" w14:paraId="27B292F4"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07382C7A" w14:textId="5B14E1AF" w:rsidR="004635E0" w:rsidRPr="001B0475" w:rsidRDefault="004635E0" w:rsidP="004635E0">
            <w:pPr>
              <w:spacing w:line="276" w:lineRule="auto"/>
              <w:rPr>
                <w:rFonts w:ascii="Times New Roman" w:hAnsi="Times New Roman" w:cs="Times New Roman"/>
                <w:color w:val="000000" w:themeColor="text1"/>
                <w:lang w:val="ro-MD"/>
              </w:rPr>
            </w:pPr>
            <w:r w:rsidRPr="00E912EB">
              <w:rPr>
                <w:rFonts w:ascii="Times New Roman" w:hAnsi="Times New Roman" w:cs="Times New Roman"/>
                <w:color w:val="000000" w:themeColor="text1"/>
                <w:lang w:val="ro-MD"/>
              </w:rPr>
              <w:t>Articolul 4</w:t>
            </w:r>
            <w:r>
              <w:rPr>
                <w:rFonts w:ascii="Times New Roman" w:hAnsi="Times New Roman" w:cs="Times New Roman"/>
                <w:color w:val="000000" w:themeColor="text1"/>
                <w:lang w:val="ro-MD"/>
              </w:rPr>
              <w:t xml:space="preserve"> </w:t>
            </w:r>
            <w:r w:rsidRPr="00E912EB">
              <w:rPr>
                <w:rFonts w:ascii="Times New Roman" w:hAnsi="Times New Roman" w:cs="Times New Roman"/>
                <w:b/>
                <w:bCs/>
                <w:color w:val="000000" w:themeColor="text1"/>
                <w:lang w:val="ro-MD"/>
              </w:rPr>
              <w:t xml:space="preserve">Metodologia specifică pentru factorii de risc de rată </w:t>
            </w:r>
            <w:proofErr w:type="spellStart"/>
            <w:r w:rsidRPr="00E912EB">
              <w:rPr>
                <w:rFonts w:ascii="Times New Roman" w:hAnsi="Times New Roman" w:cs="Times New Roman"/>
                <w:b/>
                <w:bCs/>
                <w:color w:val="000000" w:themeColor="text1"/>
                <w:lang w:val="ro-MD"/>
              </w:rPr>
              <w:t>repo</w:t>
            </w:r>
            <w:proofErr w:type="spellEnd"/>
            <w:r w:rsidRPr="00E912EB">
              <w:rPr>
                <w:rFonts w:ascii="Times New Roman" w:hAnsi="Times New Roman" w:cs="Times New Roman"/>
                <w:b/>
                <w:bCs/>
                <w:color w:val="000000" w:themeColor="text1"/>
                <w:lang w:val="ro-MD"/>
              </w:rPr>
              <w:t xml:space="preserve"> și de dividende</w:t>
            </w:r>
          </w:p>
        </w:tc>
        <w:tc>
          <w:tcPr>
            <w:tcW w:w="1692" w:type="pct"/>
          </w:tcPr>
          <w:p w14:paraId="110EEC1C" w14:textId="7B04E6B9" w:rsidR="004635E0" w:rsidRPr="00C25E6D" w:rsidRDefault="00404045" w:rsidP="004635E0">
            <w:pPr>
              <w:spacing w:line="276" w:lineRule="auto"/>
              <w:jc w:val="both"/>
              <w:rPr>
                <w:rFonts w:ascii="Times New Roman" w:hAnsi="Times New Roman" w:cs="Times New Roman"/>
                <w:b/>
                <w:color w:val="000000" w:themeColor="text1"/>
                <w:lang w:val="ro-MD"/>
              </w:rPr>
            </w:pPr>
            <w:bookmarkStart w:id="17" w:name="_Hlk223695672"/>
            <w:r w:rsidRPr="00404045">
              <w:rPr>
                <w:rFonts w:ascii="Times New Roman" w:hAnsi="Times New Roman" w:cs="Times New Roman"/>
                <w:color w:val="000000" w:themeColor="text1"/>
                <w:lang w:val="ro-MD"/>
              </w:rPr>
              <w:t xml:space="preserve">Subsecțiunea </w:t>
            </w:r>
            <w:r>
              <w:rPr>
                <w:rFonts w:ascii="Times New Roman" w:hAnsi="Times New Roman" w:cs="Times New Roman"/>
                <w:color w:val="000000" w:themeColor="text1"/>
                <w:lang w:val="ro-MD"/>
              </w:rPr>
              <w:t>4</w:t>
            </w:r>
            <w:r w:rsidRPr="00404045">
              <w:rPr>
                <w:rFonts w:ascii="Times New Roman" w:hAnsi="Times New Roman" w:cs="Times New Roman"/>
                <w:color w:val="000000" w:themeColor="text1"/>
                <w:lang w:val="ro-MD"/>
              </w:rPr>
              <w:t>.</w:t>
            </w:r>
            <w:r w:rsidRPr="00404045">
              <w:rPr>
                <w:rFonts w:ascii="Times New Roman" w:hAnsi="Times New Roman" w:cs="Times New Roman"/>
                <w:b/>
                <w:bCs/>
                <w:color w:val="000000" w:themeColor="text1"/>
                <w:lang w:val="ro-MD"/>
              </w:rPr>
              <w:t xml:space="preserve"> </w:t>
            </w:r>
            <w:r w:rsidR="004635E0">
              <w:rPr>
                <w:rFonts w:ascii="Times New Roman" w:hAnsi="Times New Roman" w:cs="Times New Roman"/>
                <w:color w:val="000000" w:themeColor="text1"/>
                <w:lang w:val="ro-MD"/>
              </w:rPr>
              <w:t xml:space="preserve"> </w:t>
            </w:r>
            <w:r w:rsidR="004635E0" w:rsidRPr="00E912EB">
              <w:rPr>
                <w:rFonts w:ascii="Times New Roman" w:hAnsi="Times New Roman" w:cs="Times New Roman"/>
                <w:b/>
                <w:bCs/>
                <w:color w:val="000000" w:themeColor="text1"/>
                <w:lang w:val="ro-MD"/>
              </w:rPr>
              <w:t xml:space="preserve">Metodologia specifică pentru factorii de risc de rată </w:t>
            </w:r>
            <w:proofErr w:type="spellStart"/>
            <w:r w:rsidR="004635E0" w:rsidRPr="00E912EB">
              <w:rPr>
                <w:rFonts w:ascii="Times New Roman" w:hAnsi="Times New Roman" w:cs="Times New Roman"/>
                <w:b/>
                <w:bCs/>
                <w:color w:val="000000" w:themeColor="text1"/>
                <w:lang w:val="ro-MD"/>
              </w:rPr>
              <w:t>repo</w:t>
            </w:r>
            <w:proofErr w:type="spellEnd"/>
            <w:r w:rsidR="004635E0" w:rsidRPr="00E912EB">
              <w:rPr>
                <w:rFonts w:ascii="Times New Roman" w:hAnsi="Times New Roman" w:cs="Times New Roman"/>
                <w:b/>
                <w:bCs/>
                <w:color w:val="000000" w:themeColor="text1"/>
                <w:lang w:val="ro-MD"/>
              </w:rPr>
              <w:t xml:space="preserve"> și de dividende</w:t>
            </w:r>
            <w:bookmarkEnd w:id="17"/>
          </w:p>
        </w:tc>
        <w:tc>
          <w:tcPr>
            <w:tcW w:w="450" w:type="pct"/>
          </w:tcPr>
          <w:p w14:paraId="0484B2F6" w14:textId="77777777" w:rsidR="004635E0" w:rsidRPr="00C25E6D" w:rsidRDefault="004635E0" w:rsidP="004635E0">
            <w:pPr>
              <w:spacing w:line="276" w:lineRule="auto"/>
              <w:rPr>
                <w:rFonts w:ascii="Times New Roman" w:hAnsi="Times New Roman" w:cs="Times New Roman"/>
                <w:color w:val="000000" w:themeColor="text1"/>
                <w:lang w:val="ro-MD"/>
              </w:rPr>
            </w:pPr>
          </w:p>
        </w:tc>
        <w:tc>
          <w:tcPr>
            <w:tcW w:w="1261" w:type="pct"/>
          </w:tcPr>
          <w:p w14:paraId="71D23119" w14:textId="77777777" w:rsidR="004635E0" w:rsidRPr="00C25E6D" w:rsidRDefault="004635E0" w:rsidP="004635E0">
            <w:pPr>
              <w:spacing w:line="276" w:lineRule="auto"/>
              <w:rPr>
                <w:rFonts w:ascii="Times New Roman" w:hAnsi="Times New Roman" w:cs="Times New Roman"/>
                <w:color w:val="000000" w:themeColor="text1"/>
                <w:lang w:val="ro-MD"/>
              </w:rPr>
            </w:pPr>
          </w:p>
        </w:tc>
      </w:tr>
      <w:tr w:rsidR="004635E0" w:rsidRPr="001E1943" w14:paraId="2D5DF268"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1259488B" w14:textId="6B1CF94F" w:rsidR="004635E0" w:rsidRPr="001B0475" w:rsidRDefault="004635E0" w:rsidP="004635E0">
            <w:pPr>
              <w:spacing w:line="276" w:lineRule="auto"/>
              <w:jc w:val="both"/>
              <w:rPr>
                <w:rFonts w:ascii="Times New Roman" w:hAnsi="Times New Roman" w:cs="Times New Roman"/>
                <w:color w:val="000000" w:themeColor="text1"/>
                <w:lang w:val="ro-MD"/>
              </w:rPr>
            </w:pPr>
            <w:r w:rsidRPr="00E912EB">
              <w:rPr>
                <w:rFonts w:ascii="Times New Roman" w:hAnsi="Times New Roman" w:cs="Times New Roman"/>
                <w:color w:val="000000" w:themeColor="text1"/>
                <w:lang w:val="ro-MD"/>
              </w:rPr>
              <w:t xml:space="preserve">(1) Prin derogare de la articolul 1, instituțiile încadrează factorii de risc de rată </w:t>
            </w:r>
            <w:proofErr w:type="spellStart"/>
            <w:r w:rsidRPr="00E912EB">
              <w:rPr>
                <w:rFonts w:ascii="Times New Roman" w:hAnsi="Times New Roman" w:cs="Times New Roman"/>
                <w:color w:val="000000" w:themeColor="text1"/>
                <w:lang w:val="ro-MD"/>
              </w:rPr>
              <w:t>repo</w:t>
            </w:r>
            <w:proofErr w:type="spellEnd"/>
            <w:r w:rsidRPr="00E912EB">
              <w:rPr>
                <w:rFonts w:ascii="Times New Roman" w:hAnsi="Times New Roman" w:cs="Times New Roman"/>
                <w:color w:val="000000" w:themeColor="text1"/>
                <w:lang w:val="ro-MD"/>
              </w:rPr>
              <w:t xml:space="preserve"> a titlurilor de capital și de dividende</w:t>
            </w:r>
            <w:r>
              <w:rPr>
                <w:rFonts w:ascii="Times New Roman" w:hAnsi="Times New Roman" w:cs="Times New Roman"/>
                <w:color w:val="000000" w:themeColor="text1"/>
                <w:lang w:val="ro-MD"/>
              </w:rPr>
              <w:t xml:space="preserve"> </w:t>
            </w:r>
            <w:r w:rsidRPr="00E912EB">
              <w:rPr>
                <w:rFonts w:ascii="Times New Roman" w:hAnsi="Times New Roman" w:cs="Times New Roman"/>
                <w:color w:val="000000" w:themeColor="text1"/>
                <w:lang w:val="ro-MD"/>
              </w:rPr>
              <w:t>în categoria generală de factori de risc „Titluri de capital”.</w:t>
            </w:r>
          </w:p>
        </w:tc>
        <w:tc>
          <w:tcPr>
            <w:tcW w:w="1692" w:type="pct"/>
          </w:tcPr>
          <w:p w14:paraId="0640C88E" w14:textId="0A77B9D9" w:rsidR="004635E0" w:rsidRPr="00C25E6D" w:rsidRDefault="0001399F" w:rsidP="004635E0">
            <w:pPr>
              <w:spacing w:line="276" w:lineRule="auto"/>
              <w:jc w:val="both"/>
              <w:rPr>
                <w:rFonts w:ascii="Times New Roman" w:hAnsi="Times New Roman" w:cs="Times New Roman"/>
                <w:b/>
                <w:color w:val="000000" w:themeColor="text1"/>
                <w:lang w:val="ro-MD"/>
              </w:rPr>
            </w:pPr>
            <w:bookmarkStart w:id="18" w:name="_Hlk223695697"/>
            <w:r>
              <w:rPr>
                <w:rFonts w:ascii="Times New Roman" w:hAnsi="Times New Roman" w:cs="Times New Roman"/>
                <w:color w:val="000000" w:themeColor="text1"/>
                <w:lang w:val="ro-MD"/>
              </w:rPr>
              <w:t>13.</w:t>
            </w:r>
            <w:r w:rsidR="004635E0" w:rsidRPr="00E912EB">
              <w:rPr>
                <w:rFonts w:ascii="Times New Roman" w:hAnsi="Times New Roman" w:cs="Times New Roman"/>
                <w:color w:val="000000" w:themeColor="text1"/>
                <w:lang w:val="ro-MD"/>
              </w:rPr>
              <w:t xml:space="preserve"> Prin derogare de la </w:t>
            </w:r>
            <w:r w:rsidRPr="0001399F">
              <w:rPr>
                <w:rFonts w:ascii="Times New Roman" w:hAnsi="Times New Roman" w:cs="Times New Roman"/>
                <w:color w:val="000000" w:themeColor="text1"/>
                <w:lang w:val="ro-MD"/>
              </w:rPr>
              <w:t>subsecțiunea 1</w:t>
            </w:r>
            <w:r w:rsidR="004635E0" w:rsidRPr="00E912EB">
              <w:rPr>
                <w:rFonts w:ascii="Times New Roman" w:hAnsi="Times New Roman" w:cs="Times New Roman"/>
                <w:color w:val="000000" w:themeColor="text1"/>
                <w:lang w:val="ro-MD"/>
              </w:rPr>
              <w:t xml:space="preserve">, </w:t>
            </w:r>
            <w:r>
              <w:rPr>
                <w:rFonts w:ascii="Times New Roman" w:hAnsi="Times New Roman" w:cs="Times New Roman"/>
                <w:color w:val="000000" w:themeColor="text1"/>
                <w:lang w:val="ro-MD"/>
              </w:rPr>
              <w:t>băncile</w:t>
            </w:r>
            <w:r w:rsidRPr="00E912EB">
              <w:rPr>
                <w:rFonts w:ascii="Times New Roman" w:hAnsi="Times New Roman" w:cs="Times New Roman"/>
                <w:color w:val="000000" w:themeColor="text1"/>
                <w:lang w:val="ro-MD"/>
              </w:rPr>
              <w:t xml:space="preserve"> </w:t>
            </w:r>
            <w:r w:rsidR="004635E0" w:rsidRPr="00E912EB">
              <w:rPr>
                <w:rFonts w:ascii="Times New Roman" w:hAnsi="Times New Roman" w:cs="Times New Roman"/>
                <w:color w:val="000000" w:themeColor="text1"/>
                <w:lang w:val="ro-MD"/>
              </w:rPr>
              <w:t xml:space="preserve">încadrează factorii de risc de rată </w:t>
            </w:r>
            <w:proofErr w:type="spellStart"/>
            <w:r w:rsidR="004635E0" w:rsidRPr="00E912EB">
              <w:rPr>
                <w:rFonts w:ascii="Times New Roman" w:hAnsi="Times New Roman" w:cs="Times New Roman"/>
                <w:color w:val="000000" w:themeColor="text1"/>
                <w:lang w:val="ro-MD"/>
              </w:rPr>
              <w:t>repo</w:t>
            </w:r>
            <w:proofErr w:type="spellEnd"/>
            <w:r w:rsidR="004635E0" w:rsidRPr="00E912EB">
              <w:rPr>
                <w:rFonts w:ascii="Times New Roman" w:hAnsi="Times New Roman" w:cs="Times New Roman"/>
                <w:color w:val="000000" w:themeColor="text1"/>
                <w:lang w:val="ro-MD"/>
              </w:rPr>
              <w:t xml:space="preserve"> a titlurilor de capital și de dividende</w:t>
            </w:r>
            <w:r w:rsidR="004635E0">
              <w:rPr>
                <w:rFonts w:ascii="Times New Roman" w:hAnsi="Times New Roman" w:cs="Times New Roman"/>
                <w:color w:val="000000" w:themeColor="text1"/>
                <w:lang w:val="ro-MD"/>
              </w:rPr>
              <w:t xml:space="preserve"> </w:t>
            </w:r>
            <w:r w:rsidR="004635E0" w:rsidRPr="00E912EB">
              <w:rPr>
                <w:rFonts w:ascii="Times New Roman" w:hAnsi="Times New Roman" w:cs="Times New Roman"/>
                <w:color w:val="000000" w:themeColor="text1"/>
                <w:lang w:val="ro-MD"/>
              </w:rPr>
              <w:t>în categoria generală de factori de risc „Titluri de capital”.</w:t>
            </w:r>
            <w:bookmarkEnd w:id="18"/>
          </w:p>
        </w:tc>
        <w:tc>
          <w:tcPr>
            <w:tcW w:w="450" w:type="pct"/>
          </w:tcPr>
          <w:p w14:paraId="7E5AA1B6" w14:textId="61244650" w:rsidR="004635E0" w:rsidRPr="00C25E6D" w:rsidRDefault="00235B11" w:rsidP="004635E0">
            <w:pPr>
              <w:spacing w:line="276" w:lineRule="auto"/>
              <w:rPr>
                <w:rFonts w:ascii="Times New Roman" w:hAnsi="Times New Roman" w:cs="Times New Roman"/>
                <w:color w:val="000000" w:themeColor="text1"/>
                <w:lang w:val="ro-MD"/>
              </w:rPr>
            </w:pPr>
            <w:r>
              <w:rPr>
                <w:rFonts w:ascii="Times New Roman" w:hAnsi="Times New Roman" w:cs="Times New Roman"/>
                <w:color w:val="000000" w:themeColor="text1"/>
                <w:lang w:val="ro-MD"/>
              </w:rPr>
              <w:t>compatibil</w:t>
            </w:r>
          </w:p>
        </w:tc>
        <w:tc>
          <w:tcPr>
            <w:tcW w:w="1261" w:type="pct"/>
          </w:tcPr>
          <w:p w14:paraId="75FAB0CF" w14:textId="77777777" w:rsidR="004635E0" w:rsidRPr="00C25E6D" w:rsidRDefault="004635E0" w:rsidP="004635E0">
            <w:pPr>
              <w:spacing w:line="276" w:lineRule="auto"/>
              <w:rPr>
                <w:rFonts w:ascii="Times New Roman" w:hAnsi="Times New Roman" w:cs="Times New Roman"/>
                <w:color w:val="000000" w:themeColor="text1"/>
                <w:lang w:val="ro-MD"/>
              </w:rPr>
            </w:pPr>
          </w:p>
        </w:tc>
      </w:tr>
      <w:tr w:rsidR="004635E0" w:rsidRPr="001E1943" w14:paraId="456392F5"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31DCD917" w14:textId="414A5C62" w:rsidR="004635E0" w:rsidRPr="001B0475" w:rsidRDefault="004635E0" w:rsidP="004635E0">
            <w:pPr>
              <w:spacing w:line="276" w:lineRule="auto"/>
              <w:jc w:val="both"/>
              <w:rPr>
                <w:rFonts w:ascii="Times New Roman" w:hAnsi="Times New Roman" w:cs="Times New Roman"/>
                <w:color w:val="000000" w:themeColor="text1"/>
                <w:lang w:val="ro-MD"/>
              </w:rPr>
            </w:pPr>
            <w:r w:rsidRPr="00E912EB">
              <w:rPr>
                <w:rFonts w:ascii="Times New Roman" w:hAnsi="Times New Roman" w:cs="Times New Roman"/>
                <w:color w:val="000000" w:themeColor="text1"/>
                <w:lang w:val="ro-MD"/>
              </w:rPr>
              <w:t xml:space="preserve">(2) Prin derogare de la articolul 1, în scopul determinării subcategoriei generale de factori de risc, </w:t>
            </w:r>
            <w:r w:rsidRPr="00E912EB">
              <w:rPr>
                <w:rFonts w:ascii="Times New Roman" w:hAnsi="Times New Roman" w:cs="Times New Roman"/>
                <w:color w:val="000000" w:themeColor="text1"/>
                <w:lang w:val="ro-MD"/>
              </w:rPr>
              <w:lastRenderedPageBreak/>
              <w:t>factorii de risc de rată</w:t>
            </w:r>
            <w:r>
              <w:rPr>
                <w:rFonts w:ascii="Times New Roman" w:hAnsi="Times New Roman" w:cs="Times New Roman"/>
                <w:color w:val="000000" w:themeColor="text1"/>
                <w:lang w:val="ro-MD"/>
              </w:rPr>
              <w:t xml:space="preserve"> </w:t>
            </w:r>
            <w:proofErr w:type="spellStart"/>
            <w:r w:rsidRPr="00E912EB">
              <w:rPr>
                <w:rFonts w:ascii="Times New Roman" w:hAnsi="Times New Roman" w:cs="Times New Roman"/>
                <w:color w:val="000000" w:themeColor="text1"/>
                <w:lang w:val="ro-MD"/>
              </w:rPr>
              <w:t>repo</w:t>
            </w:r>
            <w:proofErr w:type="spellEnd"/>
            <w:r w:rsidRPr="00E912EB">
              <w:rPr>
                <w:rFonts w:ascii="Times New Roman" w:hAnsi="Times New Roman" w:cs="Times New Roman"/>
                <w:color w:val="000000" w:themeColor="text1"/>
                <w:lang w:val="ro-MD"/>
              </w:rPr>
              <w:t xml:space="preserve"> a titlurilor de capital și de dividende pentru un anumit titlu de capital sunt tratați ca factori de risc care corespund</w:t>
            </w:r>
            <w:r>
              <w:rPr>
                <w:rFonts w:ascii="Times New Roman" w:hAnsi="Times New Roman" w:cs="Times New Roman"/>
                <w:color w:val="000000" w:themeColor="text1"/>
                <w:lang w:val="ro-MD"/>
              </w:rPr>
              <w:t xml:space="preserve"> </w:t>
            </w:r>
            <w:r w:rsidRPr="00E912EB">
              <w:rPr>
                <w:rFonts w:ascii="Times New Roman" w:hAnsi="Times New Roman" w:cs="Times New Roman"/>
                <w:color w:val="000000" w:themeColor="text1"/>
                <w:lang w:val="ro-MD"/>
              </w:rPr>
              <w:t>volatilității respectivului titlu de capital.</w:t>
            </w:r>
          </w:p>
        </w:tc>
        <w:tc>
          <w:tcPr>
            <w:tcW w:w="1692" w:type="pct"/>
          </w:tcPr>
          <w:p w14:paraId="00811788" w14:textId="51D760B0" w:rsidR="004635E0" w:rsidRPr="00C25E6D" w:rsidRDefault="0001399F" w:rsidP="004635E0">
            <w:pPr>
              <w:spacing w:line="276" w:lineRule="auto"/>
              <w:jc w:val="both"/>
              <w:rPr>
                <w:rFonts w:ascii="Times New Roman" w:hAnsi="Times New Roman" w:cs="Times New Roman"/>
                <w:b/>
                <w:color w:val="000000" w:themeColor="text1"/>
                <w:lang w:val="ro-MD"/>
              </w:rPr>
            </w:pPr>
            <w:bookmarkStart w:id="19" w:name="_Hlk223695716"/>
            <w:r>
              <w:rPr>
                <w:rFonts w:ascii="Times New Roman" w:hAnsi="Times New Roman" w:cs="Times New Roman"/>
                <w:color w:val="000000" w:themeColor="text1"/>
                <w:lang w:val="ro-MD"/>
              </w:rPr>
              <w:lastRenderedPageBreak/>
              <w:t>14.</w:t>
            </w:r>
            <w:r w:rsidR="004635E0" w:rsidRPr="00E912EB">
              <w:rPr>
                <w:rFonts w:ascii="Times New Roman" w:hAnsi="Times New Roman" w:cs="Times New Roman"/>
                <w:color w:val="000000" w:themeColor="text1"/>
                <w:lang w:val="ro-MD"/>
              </w:rPr>
              <w:t xml:space="preserve"> Prin derogare de la </w:t>
            </w:r>
            <w:r w:rsidRPr="0001399F">
              <w:rPr>
                <w:rFonts w:ascii="Times New Roman" w:hAnsi="Times New Roman" w:cs="Times New Roman"/>
                <w:color w:val="000000" w:themeColor="text1"/>
                <w:lang w:val="ro-MD"/>
              </w:rPr>
              <w:t>subsecțiunea 1</w:t>
            </w:r>
            <w:r w:rsidR="004635E0" w:rsidRPr="00E912EB">
              <w:rPr>
                <w:rFonts w:ascii="Times New Roman" w:hAnsi="Times New Roman" w:cs="Times New Roman"/>
                <w:color w:val="000000" w:themeColor="text1"/>
                <w:lang w:val="ro-MD"/>
              </w:rPr>
              <w:t xml:space="preserve">, în scopul determinării subcategoriei generale de factori de risc, </w:t>
            </w:r>
            <w:r w:rsidR="004635E0" w:rsidRPr="00E912EB">
              <w:rPr>
                <w:rFonts w:ascii="Times New Roman" w:hAnsi="Times New Roman" w:cs="Times New Roman"/>
                <w:color w:val="000000" w:themeColor="text1"/>
                <w:lang w:val="ro-MD"/>
              </w:rPr>
              <w:lastRenderedPageBreak/>
              <w:t>factorii de risc de rată</w:t>
            </w:r>
            <w:r w:rsidR="004635E0">
              <w:rPr>
                <w:rFonts w:ascii="Times New Roman" w:hAnsi="Times New Roman" w:cs="Times New Roman"/>
                <w:color w:val="000000" w:themeColor="text1"/>
                <w:lang w:val="ro-MD"/>
              </w:rPr>
              <w:t xml:space="preserve"> </w:t>
            </w:r>
            <w:proofErr w:type="spellStart"/>
            <w:r w:rsidR="004635E0" w:rsidRPr="00E912EB">
              <w:rPr>
                <w:rFonts w:ascii="Times New Roman" w:hAnsi="Times New Roman" w:cs="Times New Roman"/>
                <w:color w:val="000000" w:themeColor="text1"/>
                <w:lang w:val="ro-MD"/>
              </w:rPr>
              <w:t>repo</w:t>
            </w:r>
            <w:proofErr w:type="spellEnd"/>
            <w:r w:rsidR="004635E0" w:rsidRPr="00E912EB">
              <w:rPr>
                <w:rFonts w:ascii="Times New Roman" w:hAnsi="Times New Roman" w:cs="Times New Roman"/>
                <w:color w:val="000000" w:themeColor="text1"/>
                <w:lang w:val="ro-MD"/>
              </w:rPr>
              <w:t xml:space="preserve"> a titlurilor de capital și de dividende pentru un anumit titlu de capital sunt tratați ca factori de risc care corespund</w:t>
            </w:r>
            <w:r w:rsidR="004635E0">
              <w:rPr>
                <w:rFonts w:ascii="Times New Roman" w:hAnsi="Times New Roman" w:cs="Times New Roman"/>
                <w:color w:val="000000" w:themeColor="text1"/>
                <w:lang w:val="ro-MD"/>
              </w:rPr>
              <w:t xml:space="preserve"> </w:t>
            </w:r>
            <w:r w:rsidR="004635E0" w:rsidRPr="00E912EB">
              <w:rPr>
                <w:rFonts w:ascii="Times New Roman" w:hAnsi="Times New Roman" w:cs="Times New Roman"/>
                <w:color w:val="000000" w:themeColor="text1"/>
                <w:lang w:val="ro-MD"/>
              </w:rPr>
              <w:t>volatilității respectivului titlu de capital.</w:t>
            </w:r>
            <w:bookmarkEnd w:id="19"/>
          </w:p>
        </w:tc>
        <w:tc>
          <w:tcPr>
            <w:tcW w:w="450" w:type="pct"/>
          </w:tcPr>
          <w:p w14:paraId="73707D84" w14:textId="069D416F" w:rsidR="004635E0" w:rsidRPr="00C25E6D" w:rsidRDefault="00235B11" w:rsidP="004635E0">
            <w:pPr>
              <w:spacing w:line="276" w:lineRule="auto"/>
              <w:rPr>
                <w:rFonts w:ascii="Times New Roman" w:hAnsi="Times New Roman" w:cs="Times New Roman"/>
                <w:color w:val="000000" w:themeColor="text1"/>
                <w:lang w:val="ro-MD"/>
              </w:rPr>
            </w:pPr>
            <w:r>
              <w:rPr>
                <w:rFonts w:ascii="Times New Roman" w:hAnsi="Times New Roman" w:cs="Times New Roman"/>
                <w:color w:val="000000" w:themeColor="text1"/>
                <w:lang w:val="ro-MD"/>
              </w:rPr>
              <w:lastRenderedPageBreak/>
              <w:t>compatibil</w:t>
            </w:r>
          </w:p>
        </w:tc>
        <w:tc>
          <w:tcPr>
            <w:tcW w:w="1261" w:type="pct"/>
          </w:tcPr>
          <w:p w14:paraId="3D8C2B3D" w14:textId="77777777" w:rsidR="004635E0" w:rsidRPr="00C25E6D" w:rsidRDefault="004635E0" w:rsidP="004635E0">
            <w:pPr>
              <w:spacing w:line="276" w:lineRule="auto"/>
              <w:rPr>
                <w:rFonts w:ascii="Times New Roman" w:hAnsi="Times New Roman" w:cs="Times New Roman"/>
                <w:color w:val="000000" w:themeColor="text1"/>
                <w:lang w:val="ro-MD"/>
              </w:rPr>
            </w:pPr>
          </w:p>
        </w:tc>
      </w:tr>
      <w:tr w:rsidR="004635E0" w:rsidRPr="00D32658" w14:paraId="41E23E5D"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5900B37D" w14:textId="2F5CF84F" w:rsidR="004635E0" w:rsidRPr="00E912EB" w:rsidRDefault="004635E0" w:rsidP="004635E0">
            <w:pPr>
              <w:spacing w:line="276" w:lineRule="auto"/>
              <w:jc w:val="both"/>
              <w:rPr>
                <w:rFonts w:ascii="Times New Roman" w:hAnsi="Times New Roman" w:cs="Times New Roman"/>
                <w:b/>
                <w:bCs/>
                <w:color w:val="000000" w:themeColor="text1"/>
                <w:lang w:val="ro-MD"/>
              </w:rPr>
            </w:pPr>
            <w:r w:rsidRPr="00E912EB">
              <w:rPr>
                <w:rFonts w:ascii="Times New Roman" w:hAnsi="Times New Roman" w:cs="Times New Roman"/>
                <w:color w:val="000000" w:themeColor="text1"/>
                <w:lang w:val="ro-MD"/>
              </w:rPr>
              <w:t>CAPITOLUL 2</w:t>
            </w:r>
            <w:r>
              <w:rPr>
                <w:rFonts w:ascii="Times New Roman" w:hAnsi="Times New Roman" w:cs="Times New Roman"/>
                <w:color w:val="000000" w:themeColor="text1"/>
                <w:lang w:val="ro-MD"/>
              </w:rPr>
              <w:t xml:space="preserve"> </w:t>
            </w:r>
            <w:r w:rsidRPr="00E912EB">
              <w:rPr>
                <w:rFonts w:ascii="Times New Roman" w:hAnsi="Times New Roman" w:cs="Times New Roman"/>
                <w:b/>
                <w:bCs/>
                <w:color w:val="000000" w:themeColor="text1"/>
                <w:lang w:val="ro-MD"/>
              </w:rPr>
              <w:t>Determinarea subcategoriei „Cele mai lichide monede”, determinarea subcategoriei „Cele mai lichide perechi de</w:t>
            </w:r>
            <w:r>
              <w:rPr>
                <w:rFonts w:ascii="Times New Roman" w:hAnsi="Times New Roman" w:cs="Times New Roman"/>
                <w:b/>
                <w:bCs/>
                <w:color w:val="000000" w:themeColor="text1"/>
                <w:lang w:val="ro-MD"/>
              </w:rPr>
              <w:t xml:space="preserve"> </w:t>
            </w:r>
            <w:r w:rsidRPr="00E912EB">
              <w:rPr>
                <w:rFonts w:ascii="Times New Roman" w:hAnsi="Times New Roman" w:cs="Times New Roman"/>
                <w:b/>
                <w:bCs/>
                <w:color w:val="000000" w:themeColor="text1"/>
                <w:lang w:val="ro-MD"/>
              </w:rPr>
              <w:t>monede” și definirea subcategoriilor „Capitalizare de piață scăzută” și „Capitalizare de piață ridicată”</w:t>
            </w:r>
          </w:p>
        </w:tc>
        <w:tc>
          <w:tcPr>
            <w:tcW w:w="1692" w:type="pct"/>
          </w:tcPr>
          <w:p w14:paraId="0AF2AA1D" w14:textId="1428ECFF" w:rsidR="004635E0" w:rsidRPr="00C25E6D" w:rsidRDefault="00404045" w:rsidP="004635E0">
            <w:pPr>
              <w:spacing w:line="276" w:lineRule="auto"/>
              <w:jc w:val="both"/>
              <w:rPr>
                <w:rFonts w:ascii="Times New Roman" w:hAnsi="Times New Roman" w:cs="Times New Roman"/>
                <w:b/>
                <w:color w:val="000000" w:themeColor="text1"/>
                <w:lang w:val="ro-MD"/>
              </w:rPr>
            </w:pPr>
            <w:bookmarkStart w:id="20" w:name="_Hlk223695734"/>
            <w:r>
              <w:rPr>
                <w:rFonts w:ascii="Times New Roman" w:hAnsi="Times New Roman" w:cs="Times New Roman"/>
                <w:color w:val="000000" w:themeColor="text1"/>
                <w:lang w:val="ro-MD"/>
              </w:rPr>
              <w:t>Secțiunea</w:t>
            </w:r>
            <w:r w:rsidRPr="00E912EB">
              <w:rPr>
                <w:rFonts w:ascii="Times New Roman" w:hAnsi="Times New Roman" w:cs="Times New Roman"/>
                <w:color w:val="000000" w:themeColor="text1"/>
                <w:lang w:val="ro-MD"/>
              </w:rPr>
              <w:t xml:space="preserve"> </w:t>
            </w:r>
            <w:r w:rsidR="004635E0" w:rsidRPr="00E912EB">
              <w:rPr>
                <w:rFonts w:ascii="Times New Roman" w:hAnsi="Times New Roman" w:cs="Times New Roman"/>
                <w:color w:val="000000" w:themeColor="text1"/>
                <w:lang w:val="ro-MD"/>
              </w:rPr>
              <w:t>2</w:t>
            </w:r>
            <w:r>
              <w:rPr>
                <w:rFonts w:ascii="Times New Roman" w:hAnsi="Times New Roman" w:cs="Times New Roman"/>
                <w:color w:val="000000" w:themeColor="text1"/>
                <w:lang w:val="ro-MD"/>
              </w:rPr>
              <w:t>.</w:t>
            </w:r>
            <w:r w:rsidR="004635E0">
              <w:rPr>
                <w:rFonts w:ascii="Times New Roman" w:hAnsi="Times New Roman" w:cs="Times New Roman"/>
                <w:color w:val="000000" w:themeColor="text1"/>
                <w:lang w:val="ro-MD"/>
              </w:rPr>
              <w:t xml:space="preserve"> </w:t>
            </w:r>
            <w:r w:rsidR="004635E0" w:rsidRPr="00E912EB">
              <w:rPr>
                <w:rFonts w:ascii="Times New Roman" w:hAnsi="Times New Roman" w:cs="Times New Roman"/>
                <w:b/>
                <w:bCs/>
                <w:color w:val="000000" w:themeColor="text1"/>
                <w:lang w:val="ro-MD"/>
              </w:rPr>
              <w:t>Determinarea subcategoriei „Cele mai lichide monede”, determinarea subcategoriei „Cele mai lichide perechi de</w:t>
            </w:r>
            <w:r w:rsidR="004635E0">
              <w:rPr>
                <w:rFonts w:ascii="Times New Roman" w:hAnsi="Times New Roman" w:cs="Times New Roman"/>
                <w:b/>
                <w:bCs/>
                <w:color w:val="000000" w:themeColor="text1"/>
                <w:lang w:val="ro-MD"/>
              </w:rPr>
              <w:t xml:space="preserve"> </w:t>
            </w:r>
            <w:r w:rsidR="004635E0" w:rsidRPr="00E912EB">
              <w:rPr>
                <w:rFonts w:ascii="Times New Roman" w:hAnsi="Times New Roman" w:cs="Times New Roman"/>
                <w:b/>
                <w:bCs/>
                <w:color w:val="000000" w:themeColor="text1"/>
                <w:lang w:val="ro-MD"/>
              </w:rPr>
              <w:t>monede” și definirea subcategoriilor „Capitalizare de piață scăzută” și „Capitalizare de piață ridicată”</w:t>
            </w:r>
            <w:bookmarkEnd w:id="20"/>
          </w:p>
        </w:tc>
        <w:tc>
          <w:tcPr>
            <w:tcW w:w="450" w:type="pct"/>
          </w:tcPr>
          <w:p w14:paraId="1A74DD00" w14:textId="77777777" w:rsidR="004635E0" w:rsidRPr="00C25E6D" w:rsidRDefault="004635E0" w:rsidP="004635E0">
            <w:pPr>
              <w:spacing w:line="276" w:lineRule="auto"/>
              <w:rPr>
                <w:rFonts w:ascii="Times New Roman" w:hAnsi="Times New Roman" w:cs="Times New Roman"/>
                <w:color w:val="000000" w:themeColor="text1"/>
                <w:lang w:val="ro-MD"/>
              </w:rPr>
            </w:pPr>
          </w:p>
        </w:tc>
        <w:tc>
          <w:tcPr>
            <w:tcW w:w="1261" w:type="pct"/>
          </w:tcPr>
          <w:p w14:paraId="104F00E6" w14:textId="77777777" w:rsidR="004635E0" w:rsidRPr="00C25E6D" w:rsidRDefault="004635E0" w:rsidP="004635E0">
            <w:pPr>
              <w:spacing w:line="276" w:lineRule="auto"/>
              <w:rPr>
                <w:rFonts w:ascii="Times New Roman" w:hAnsi="Times New Roman" w:cs="Times New Roman"/>
                <w:color w:val="000000" w:themeColor="text1"/>
                <w:lang w:val="ro-MD"/>
              </w:rPr>
            </w:pPr>
          </w:p>
        </w:tc>
      </w:tr>
      <w:tr w:rsidR="004635E0" w:rsidRPr="00D32658" w14:paraId="42A78095"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39B40E8C" w14:textId="4735419A" w:rsidR="004635E0" w:rsidRPr="001B0475" w:rsidRDefault="004635E0" w:rsidP="004635E0">
            <w:pPr>
              <w:spacing w:line="276" w:lineRule="auto"/>
              <w:jc w:val="both"/>
              <w:rPr>
                <w:rFonts w:ascii="Times New Roman" w:hAnsi="Times New Roman" w:cs="Times New Roman"/>
                <w:color w:val="000000" w:themeColor="text1"/>
                <w:lang w:val="ro-MD"/>
              </w:rPr>
            </w:pPr>
            <w:r w:rsidRPr="00E912EB">
              <w:rPr>
                <w:rFonts w:ascii="Times New Roman" w:hAnsi="Times New Roman" w:cs="Times New Roman"/>
                <w:color w:val="000000" w:themeColor="text1"/>
                <w:lang w:val="ro-MD"/>
              </w:rPr>
              <w:t>Articolul 5</w:t>
            </w:r>
            <w:r>
              <w:rPr>
                <w:rFonts w:ascii="Times New Roman" w:hAnsi="Times New Roman" w:cs="Times New Roman"/>
                <w:color w:val="000000" w:themeColor="text1"/>
                <w:lang w:val="ro-MD"/>
              </w:rPr>
              <w:t xml:space="preserve"> </w:t>
            </w:r>
            <w:r w:rsidRPr="00E912EB">
              <w:rPr>
                <w:rFonts w:ascii="Times New Roman" w:hAnsi="Times New Roman" w:cs="Times New Roman"/>
                <w:b/>
                <w:bCs/>
                <w:color w:val="000000" w:themeColor="text1"/>
                <w:lang w:val="ro-MD"/>
              </w:rPr>
              <w:t>Subcategoria „Cele mai lichide monede”</w:t>
            </w:r>
          </w:p>
        </w:tc>
        <w:tc>
          <w:tcPr>
            <w:tcW w:w="1692" w:type="pct"/>
          </w:tcPr>
          <w:p w14:paraId="4B9EE78D" w14:textId="1AA224FA" w:rsidR="004635E0" w:rsidRPr="00C25E6D" w:rsidRDefault="00404045" w:rsidP="004635E0">
            <w:pPr>
              <w:spacing w:line="276" w:lineRule="auto"/>
              <w:jc w:val="both"/>
              <w:rPr>
                <w:rFonts w:ascii="Times New Roman" w:hAnsi="Times New Roman" w:cs="Times New Roman"/>
                <w:b/>
                <w:color w:val="000000" w:themeColor="text1"/>
                <w:lang w:val="ro-MD"/>
              </w:rPr>
            </w:pPr>
            <w:bookmarkStart w:id="21" w:name="_Hlk223695762"/>
            <w:r>
              <w:rPr>
                <w:rFonts w:ascii="Times New Roman" w:hAnsi="Times New Roman" w:cs="Times New Roman"/>
                <w:color w:val="000000" w:themeColor="text1"/>
                <w:lang w:val="ro-MD"/>
              </w:rPr>
              <w:t>Subsecțiunea 1.</w:t>
            </w:r>
            <w:r w:rsidR="004635E0">
              <w:rPr>
                <w:rFonts w:ascii="Times New Roman" w:hAnsi="Times New Roman" w:cs="Times New Roman"/>
                <w:color w:val="000000" w:themeColor="text1"/>
                <w:lang w:val="ro-MD"/>
              </w:rPr>
              <w:t xml:space="preserve"> </w:t>
            </w:r>
            <w:r w:rsidR="004635E0" w:rsidRPr="00E912EB">
              <w:rPr>
                <w:rFonts w:ascii="Times New Roman" w:hAnsi="Times New Roman" w:cs="Times New Roman"/>
                <w:b/>
                <w:bCs/>
                <w:color w:val="000000" w:themeColor="text1"/>
                <w:lang w:val="ro-MD"/>
              </w:rPr>
              <w:t>Subcategoria „Cele mai lichide monede”</w:t>
            </w:r>
            <w:bookmarkEnd w:id="21"/>
          </w:p>
        </w:tc>
        <w:tc>
          <w:tcPr>
            <w:tcW w:w="450" w:type="pct"/>
          </w:tcPr>
          <w:p w14:paraId="2A25EC22" w14:textId="77777777" w:rsidR="004635E0" w:rsidRPr="00C25E6D" w:rsidRDefault="004635E0" w:rsidP="004635E0">
            <w:pPr>
              <w:spacing w:line="276" w:lineRule="auto"/>
              <w:rPr>
                <w:rFonts w:ascii="Times New Roman" w:hAnsi="Times New Roman" w:cs="Times New Roman"/>
                <w:color w:val="000000" w:themeColor="text1"/>
                <w:lang w:val="ro-MD"/>
              </w:rPr>
            </w:pPr>
          </w:p>
        </w:tc>
        <w:tc>
          <w:tcPr>
            <w:tcW w:w="1261" w:type="pct"/>
          </w:tcPr>
          <w:p w14:paraId="0BE09B03" w14:textId="77777777" w:rsidR="004635E0" w:rsidRPr="00C25E6D" w:rsidRDefault="004635E0" w:rsidP="004635E0">
            <w:pPr>
              <w:spacing w:line="276" w:lineRule="auto"/>
              <w:rPr>
                <w:rFonts w:ascii="Times New Roman" w:hAnsi="Times New Roman" w:cs="Times New Roman"/>
                <w:color w:val="000000" w:themeColor="text1"/>
                <w:lang w:val="ro-MD"/>
              </w:rPr>
            </w:pPr>
          </w:p>
        </w:tc>
      </w:tr>
      <w:tr w:rsidR="004635E0" w:rsidRPr="001E1943" w14:paraId="491688D4"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1ADB6202" w14:textId="3B3C0602" w:rsidR="004635E0" w:rsidRPr="001B0475" w:rsidRDefault="004635E0" w:rsidP="004635E0">
            <w:pPr>
              <w:spacing w:line="276" w:lineRule="auto"/>
              <w:jc w:val="both"/>
              <w:rPr>
                <w:rFonts w:ascii="Times New Roman" w:hAnsi="Times New Roman" w:cs="Times New Roman"/>
                <w:color w:val="000000" w:themeColor="text1"/>
                <w:lang w:val="ro-MD"/>
              </w:rPr>
            </w:pPr>
            <w:r w:rsidRPr="00E912EB">
              <w:rPr>
                <w:rFonts w:ascii="Times New Roman" w:hAnsi="Times New Roman" w:cs="Times New Roman"/>
                <w:color w:val="000000" w:themeColor="text1"/>
                <w:lang w:val="ro-MD"/>
              </w:rPr>
              <w:t>Monedele care constituie subcategoria „Cele mai lichide monede” a categoriei generale de factori de risc „Rata dobânzii”</w:t>
            </w:r>
            <w:r>
              <w:rPr>
                <w:rFonts w:ascii="Times New Roman" w:hAnsi="Times New Roman" w:cs="Times New Roman"/>
                <w:color w:val="000000" w:themeColor="text1"/>
                <w:lang w:val="ro-MD"/>
              </w:rPr>
              <w:t xml:space="preserve"> </w:t>
            </w:r>
            <w:r w:rsidRPr="00E912EB">
              <w:rPr>
                <w:rFonts w:ascii="Times New Roman" w:hAnsi="Times New Roman" w:cs="Times New Roman"/>
                <w:color w:val="000000" w:themeColor="text1"/>
                <w:lang w:val="ro-MD"/>
              </w:rPr>
              <w:t>menționate în tabelul 2 de la articolul 325bd din Regulamentul (UE) nr. 575/2013 sunt cele enumerate în anexa I la</w:t>
            </w:r>
            <w:r>
              <w:rPr>
                <w:rFonts w:ascii="Times New Roman" w:hAnsi="Times New Roman" w:cs="Times New Roman"/>
                <w:color w:val="000000" w:themeColor="text1"/>
                <w:lang w:val="ro-MD"/>
              </w:rPr>
              <w:t xml:space="preserve"> </w:t>
            </w:r>
            <w:r w:rsidRPr="00E912EB">
              <w:rPr>
                <w:rFonts w:ascii="Times New Roman" w:hAnsi="Times New Roman" w:cs="Times New Roman"/>
                <w:color w:val="000000" w:themeColor="text1"/>
                <w:lang w:val="ro-MD"/>
              </w:rPr>
              <w:t>prezentul regulament.</w:t>
            </w:r>
          </w:p>
        </w:tc>
        <w:tc>
          <w:tcPr>
            <w:tcW w:w="1692" w:type="pct"/>
          </w:tcPr>
          <w:p w14:paraId="6D4BB5A0" w14:textId="65D51DD2" w:rsidR="004635E0" w:rsidRPr="00C25E6D" w:rsidRDefault="0001399F" w:rsidP="004635E0">
            <w:pPr>
              <w:spacing w:line="276" w:lineRule="auto"/>
              <w:jc w:val="both"/>
              <w:rPr>
                <w:rFonts w:ascii="Times New Roman" w:hAnsi="Times New Roman" w:cs="Times New Roman"/>
                <w:b/>
                <w:color w:val="000000" w:themeColor="text1"/>
                <w:lang w:val="ro-MD"/>
              </w:rPr>
            </w:pPr>
            <w:bookmarkStart w:id="22" w:name="_Hlk223695782"/>
            <w:r>
              <w:rPr>
                <w:rFonts w:ascii="Times New Roman" w:hAnsi="Times New Roman" w:cs="Times New Roman"/>
                <w:color w:val="000000" w:themeColor="text1"/>
                <w:lang w:val="ro-MD"/>
              </w:rPr>
              <w:t xml:space="preserve">15. </w:t>
            </w:r>
            <w:r w:rsidR="004635E0" w:rsidRPr="00E912EB">
              <w:rPr>
                <w:rFonts w:ascii="Times New Roman" w:hAnsi="Times New Roman" w:cs="Times New Roman"/>
                <w:color w:val="000000" w:themeColor="text1"/>
                <w:lang w:val="ro-MD"/>
              </w:rPr>
              <w:t>Monedele care constituie subcategoria „Cele mai lichide monede” a categoriei generale de factori de risc „Rata dobânzii”</w:t>
            </w:r>
            <w:r w:rsidR="004635E0">
              <w:rPr>
                <w:rFonts w:ascii="Times New Roman" w:hAnsi="Times New Roman" w:cs="Times New Roman"/>
                <w:color w:val="000000" w:themeColor="text1"/>
                <w:lang w:val="ro-MD"/>
              </w:rPr>
              <w:t xml:space="preserve"> </w:t>
            </w:r>
            <w:r w:rsidR="004635E0" w:rsidRPr="00E912EB">
              <w:rPr>
                <w:rFonts w:ascii="Times New Roman" w:hAnsi="Times New Roman" w:cs="Times New Roman"/>
                <w:color w:val="000000" w:themeColor="text1"/>
                <w:lang w:val="ro-MD"/>
              </w:rPr>
              <w:t xml:space="preserve">menționate în tabelul 2 de la </w:t>
            </w:r>
            <w:r w:rsidRPr="0001399F">
              <w:rPr>
                <w:rFonts w:ascii="Times New Roman" w:hAnsi="Times New Roman" w:cs="Times New Roman"/>
                <w:color w:val="000000" w:themeColor="text1"/>
                <w:lang w:val="ro-MD"/>
              </w:rPr>
              <w:t>pct.361 din Regulamentul privind cerințe de fonduri proprii pentru riscul de piață</w:t>
            </w:r>
            <w:r w:rsidR="004635E0" w:rsidRPr="00E912EB">
              <w:rPr>
                <w:rFonts w:ascii="Times New Roman" w:hAnsi="Times New Roman" w:cs="Times New Roman"/>
                <w:color w:val="000000" w:themeColor="text1"/>
                <w:lang w:val="ro-MD"/>
              </w:rPr>
              <w:t xml:space="preserve"> sunt cele enumerate în </w:t>
            </w:r>
            <w:r>
              <w:rPr>
                <w:rFonts w:ascii="Times New Roman" w:hAnsi="Times New Roman" w:cs="Times New Roman"/>
                <w:color w:val="000000" w:themeColor="text1"/>
                <w:lang w:val="ro-MD"/>
              </w:rPr>
              <w:t>tabelul nr.1 la prezenta anexă</w:t>
            </w:r>
            <w:r w:rsidR="004635E0" w:rsidRPr="00E912EB">
              <w:rPr>
                <w:rFonts w:ascii="Times New Roman" w:hAnsi="Times New Roman" w:cs="Times New Roman"/>
                <w:color w:val="000000" w:themeColor="text1"/>
                <w:lang w:val="ro-MD"/>
              </w:rPr>
              <w:t>.</w:t>
            </w:r>
            <w:bookmarkEnd w:id="22"/>
          </w:p>
        </w:tc>
        <w:tc>
          <w:tcPr>
            <w:tcW w:w="450" w:type="pct"/>
          </w:tcPr>
          <w:p w14:paraId="0C839F3C" w14:textId="4E840E54" w:rsidR="004635E0" w:rsidRPr="00C25E6D" w:rsidRDefault="00235B11" w:rsidP="004635E0">
            <w:pPr>
              <w:spacing w:line="276" w:lineRule="auto"/>
              <w:rPr>
                <w:rFonts w:ascii="Times New Roman" w:hAnsi="Times New Roman" w:cs="Times New Roman"/>
                <w:color w:val="000000" w:themeColor="text1"/>
                <w:lang w:val="ro-MD"/>
              </w:rPr>
            </w:pPr>
            <w:r>
              <w:rPr>
                <w:rFonts w:ascii="Times New Roman" w:hAnsi="Times New Roman" w:cs="Times New Roman"/>
                <w:color w:val="000000" w:themeColor="text1"/>
                <w:lang w:val="ro-MD"/>
              </w:rPr>
              <w:t>compatibil</w:t>
            </w:r>
          </w:p>
        </w:tc>
        <w:tc>
          <w:tcPr>
            <w:tcW w:w="1261" w:type="pct"/>
          </w:tcPr>
          <w:p w14:paraId="308067B0" w14:textId="77777777" w:rsidR="004635E0" w:rsidRPr="00C25E6D" w:rsidRDefault="004635E0" w:rsidP="004635E0">
            <w:pPr>
              <w:spacing w:line="276" w:lineRule="auto"/>
              <w:rPr>
                <w:rFonts w:ascii="Times New Roman" w:hAnsi="Times New Roman" w:cs="Times New Roman"/>
                <w:color w:val="000000" w:themeColor="text1"/>
                <w:lang w:val="ro-MD"/>
              </w:rPr>
            </w:pPr>
          </w:p>
        </w:tc>
      </w:tr>
      <w:tr w:rsidR="007E64D8" w:rsidRPr="00D32658" w14:paraId="26B523AD"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3BC1223D" w14:textId="0F7597CB" w:rsidR="007E64D8" w:rsidRPr="00E912EB" w:rsidRDefault="007E64D8" w:rsidP="007E64D8">
            <w:pPr>
              <w:spacing w:line="276" w:lineRule="auto"/>
              <w:jc w:val="both"/>
              <w:rPr>
                <w:rFonts w:ascii="Times New Roman" w:hAnsi="Times New Roman" w:cs="Times New Roman"/>
                <w:color w:val="000000" w:themeColor="text1"/>
                <w:lang w:val="ro-MD"/>
              </w:rPr>
            </w:pPr>
            <w:r w:rsidRPr="00E912EB">
              <w:rPr>
                <w:rFonts w:ascii="Times New Roman" w:hAnsi="Times New Roman" w:cs="Times New Roman"/>
                <w:color w:val="000000" w:themeColor="text1"/>
                <w:lang w:val="ro-MD"/>
              </w:rPr>
              <w:t>Articolul 6</w:t>
            </w:r>
            <w:r>
              <w:rPr>
                <w:rFonts w:ascii="Times New Roman" w:hAnsi="Times New Roman" w:cs="Times New Roman"/>
                <w:color w:val="000000" w:themeColor="text1"/>
                <w:lang w:val="ro-MD"/>
              </w:rPr>
              <w:t xml:space="preserve"> </w:t>
            </w:r>
            <w:r w:rsidRPr="00E912EB">
              <w:rPr>
                <w:rFonts w:ascii="Times New Roman" w:hAnsi="Times New Roman" w:cs="Times New Roman"/>
                <w:b/>
                <w:bCs/>
                <w:color w:val="000000" w:themeColor="text1"/>
                <w:lang w:val="ro-MD"/>
              </w:rPr>
              <w:t>Subcategoria „Cele mai lichide perechi de monede”</w:t>
            </w:r>
          </w:p>
        </w:tc>
        <w:tc>
          <w:tcPr>
            <w:tcW w:w="1692" w:type="pct"/>
          </w:tcPr>
          <w:p w14:paraId="7B4B5812" w14:textId="6DB48268" w:rsidR="007E64D8" w:rsidRPr="00C25E6D" w:rsidRDefault="00404045" w:rsidP="007E64D8">
            <w:pPr>
              <w:spacing w:line="276" w:lineRule="auto"/>
              <w:jc w:val="both"/>
              <w:rPr>
                <w:rFonts w:ascii="Times New Roman" w:hAnsi="Times New Roman" w:cs="Times New Roman"/>
                <w:b/>
                <w:color w:val="000000" w:themeColor="text1"/>
                <w:lang w:val="ro-MD"/>
              </w:rPr>
            </w:pPr>
            <w:bookmarkStart w:id="23" w:name="_Hlk223695803"/>
            <w:r w:rsidRPr="00404045">
              <w:rPr>
                <w:rFonts w:ascii="Times New Roman" w:hAnsi="Times New Roman" w:cs="Times New Roman"/>
                <w:color w:val="000000" w:themeColor="text1"/>
                <w:lang w:val="ro-MD"/>
              </w:rPr>
              <w:t xml:space="preserve">Subsecțiunea </w:t>
            </w:r>
            <w:r>
              <w:rPr>
                <w:rFonts w:ascii="Times New Roman" w:hAnsi="Times New Roman" w:cs="Times New Roman"/>
                <w:color w:val="000000" w:themeColor="text1"/>
                <w:lang w:val="ro-MD"/>
              </w:rPr>
              <w:t>2</w:t>
            </w:r>
            <w:r w:rsidRPr="00404045">
              <w:rPr>
                <w:rFonts w:ascii="Times New Roman" w:hAnsi="Times New Roman" w:cs="Times New Roman"/>
                <w:color w:val="000000" w:themeColor="text1"/>
                <w:lang w:val="ro-MD"/>
              </w:rPr>
              <w:t xml:space="preserve">. </w:t>
            </w:r>
            <w:r w:rsidR="007E64D8">
              <w:rPr>
                <w:rFonts w:ascii="Times New Roman" w:hAnsi="Times New Roman" w:cs="Times New Roman"/>
                <w:color w:val="000000" w:themeColor="text1"/>
                <w:lang w:val="ro-MD"/>
              </w:rPr>
              <w:t xml:space="preserve"> </w:t>
            </w:r>
            <w:r w:rsidR="007E64D8" w:rsidRPr="00E912EB">
              <w:rPr>
                <w:rFonts w:ascii="Times New Roman" w:hAnsi="Times New Roman" w:cs="Times New Roman"/>
                <w:b/>
                <w:bCs/>
                <w:color w:val="000000" w:themeColor="text1"/>
                <w:lang w:val="ro-MD"/>
              </w:rPr>
              <w:t>Subcategoria „Cele mai lichide perechi de monede”</w:t>
            </w:r>
            <w:bookmarkEnd w:id="23"/>
          </w:p>
        </w:tc>
        <w:tc>
          <w:tcPr>
            <w:tcW w:w="450" w:type="pct"/>
          </w:tcPr>
          <w:p w14:paraId="147EA98C" w14:textId="77777777" w:rsidR="007E64D8" w:rsidRPr="00C25E6D" w:rsidRDefault="007E64D8" w:rsidP="007E64D8">
            <w:pPr>
              <w:spacing w:line="276" w:lineRule="auto"/>
              <w:rPr>
                <w:rFonts w:ascii="Times New Roman" w:hAnsi="Times New Roman" w:cs="Times New Roman"/>
                <w:color w:val="000000" w:themeColor="text1"/>
                <w:lang w:val="ro-MD"/>
              </w:rPr>
            </w:pPr>
          </w:p>
        </w:tc>
        <w:tc>
          <w:tcPr>
            <w:tcW w:w="1261" w:type="pct"/>
          </w:tcPr>
          <w:p w14:paraId="5A3B0ED7" w14:textId="77777777" w:rsidR="007E64D8" w:rsidRPr="00C25E6D" w:rsidRDefault="007E64D8" w:rsidP="007E64D8">
            <w:pPr>
              <w:spacing w:line="276" w:lineRule="auto"/>
              <w:rPr>
                <w:rFonts w:ascii="Times New Roman" w:hAnsi="Times New Roman" w:cs="Times New Roman"/>
                <w:color w:val="000000" w:themeColor="text1"/>
                <w:lang w:val="ro-MD"/>
              </w:rPr>
            </w:pPr>
          </w:p>
        </w:tc>
      </w:tr>
      <w:tr w:rsidR="007E64D8" w:rsidRPr="001E1943" w14:paraId="423839F9"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20454C8B" w14:textId="653931AE" w:rsidR="007E64D8" w:rsidRPr="00E912EB" w:rsidRDefault="007E64D8" w:rsidP="007E64D8">
            <w:pPr>
              <w:spacing w:line="276" w:lineRule="auto"/>
              <w:jc w:val="both"/>
              <w:rPr>
                <w:rFonts w:ascii="Times New Roman" w:hAnsi="Times New Roman" w:cs="Times New Roman"/>
                <w:color w:val="000000" w:themeColor="text1"/>
                <w:lang w:val="ro-MD"/>
              </w:rPr>
            </w:pPr>
            <w:r w:rsidRPr="00E912EB">
              <w:rPr>
                <w:rFonts w:ascii="Times New Roman" w:hAnsi="Times New Roman" w:cs="Times New Roman"/>
                <w:color w:val="000000" w:themeColor="text1"/>
                <w:lang w:val="ro-MD"/>
              </w:rPr>
              <w:t>Perechile de monede care constituie subcategoria „Cele mai lichide perechi de monede” a categoriei generale de factori de</w:t>
            </w:r>
            <w:r>
              <w:rPr>
                <w:rFonts w:ascii="Times New Roman" w:hAnsi="Times New Roman" w:cs="Times New Roman"/>
                <w:color w:val="000000" w:themeColor="text1"/>
                <w:lang w:val="ro-MD"/>
              </w:rPr>
              <w:t xml:space="preserve"> </w:t>
            </w:r>
            <w:r w:rsidRPr="00E912EB">
              <w:rPr>
                <w:rFonts w:ascii="Times New Roman" w:hAnsi="Times New Roman" w:cs="Times New Roman"/>
                <w:color w:val="000000" w:themeColor="text1"/>
                <w:lang w:val="ro-MD"/>
              </w:rPr>
              <w:t xml:space="preserve">risc „Schimb valutar” menționate în </w:t>
            </w:r>
            <w:r w:rsidRPr="00E912EB">
              <w:rPr>
                <w:rFonts w:ascii="Times New Roman" w:hAnsi="Times New Roman" w:cs="Times New Roman"/>
                <w:color w:val="000000" w:themeColor="text1"/>
                <w:lang w:val="ro-MD"/>
              </w:rPr>
              <w:lastRenderedPageBreak/>
              <w:t>tabelul 2 de la articolul 325bd din Regulamentul (UE) nr. 575/2013 sunt cele</w:t>
            </w:r>
            <w:r>
              <w:rPr>
                <w:rFonts w:ascii="Times New Roman" w:hAnsi="Times New Roman" w:cs="Times New Roman"/>
                <w:color w:val="000000" w:themeColor="text1"/>
                <w:lang w:val="ro-MD"/>
              </w:rPr>
              <w:t xml:space="preserve"> </w:t>
            </w:r>
            <w:r w:rsidRPr="00E912EB">
              <w:rPr>
                <w:rFonts w:ascii="Times New Roman" w:hAnsi="Times New Roman" w:cs="Times New Roman"/>
                <w:color w:val="000000" w:themeColor="text1"/>
                <w:lang w:val="ro-MD"/>
              </w:rPr>
              <w:t>enumerate în anexa II la prezentul regulament.</w:t>
            </w:r>
          </w:p>
        </w:tc>
        <w:tc>
          <w:tcPr>
            <w:tcW w:w="1692" w:type="pct"/>
          </w:tcPr>
          <w:p w14:paraId="1D963C8D" w14:textId="1845FEBE" w:rsidR="007E64D8" w:rsidRPr="00C25E6D" w:rsidRDefault="0001399F" w:rsidP="007E64D8">
            <w:pPr>
              <w:spacing w:line="276" w:lineRule="auto"/>
              <w:jc w:val="both"/>
              <w:rPr>
                <w:rFonts w:ascii="Times New Roman" w:hAnsi="Times New Roman" w:cs="Times New Roman"/>
                <w:b/>
                <w:color w:val="000000" w:themeColor="text1"/>
                <w:lang w:val="ro-MD"/>
              </w:rPr>
            </w:pPr>
            <w:bookmarkStart w:id="24" w:name="_Hlk223695832"/>
            <w:r>
              <w:rPr>
                <w:rFonts w:ascii="Times New Roman" w:hAnsi="Times New Roman" w:cs="Times New Roman"/>
                <w:color w:val="000000" w:themeColor="text1"/>
                <w:lang w:val="ro-MD"/>
              </w:rPr>
              <w:lastRenderedPageBreak/>
              <w:t xml:space="preserve">16. </w:t>
            </w:r>
            <w:r w:rsidR="007E64D8" w:rsidRPr="00E912EB">
              <w:rPr>
                <w:rFonts w:ascii="Times New Roman" w:hAnsi="Times New Roman" w:cs="Times New Roman"/>
                <w:color w:val="000000" w:themeColor="text1"/>
                <w:lang w:val="ro-MD"/>
              </w:rPr>
              <w:t>Perechile de monede care constituie subcategoria „Cele mai lichide perechi de monede” a categoriei generale de factori de</w:t>
            </w:r>
            <w:r w:rsidR="007E64D8">
              <w:rPr>
                <w:rFonts w:ascii="Times New Roman" w:hAnsi="Times New Roman" w:cs="Times New Roman"/>
                <w:color w:val="000000" w:themeColor="text1"/>
                <w:lang w:val="ro-MD"/>
              </w:rPr>
              <w:t xml:space="preserve"> </w:t>
            </w:r>
            <w:r w:rsidR="007E64D8" w:rsidRPr="00E912EB">
              <w:rPr>
                <w:rFonts w:ascii="Times New Roman" w:hAnsi="Times New Roman" w:cs="Times New Roman"/>
                <w:color w:val="000000" w:themeColor="text1"/>
                <w:lang w:val="ro-MD"/>
              </w:rPr>
              <w:t xml:space="preserve">risc „Schimb valutar” menționate în </w:t>
            </w:r>
            <w:r w:rsidR="007E64D8" w:rsidRPr="00E912EB">
              <w:rPr>
                <w:rFonts w:ascii="Times New Roman" w:hAnsi="Times New Roman" w:cs="Times New Roman"/>
                <w:color w:val="000000" w:themeColor="text1"/>
                <w:lang w:val="ro-MD"/>
              </w:rPr>
              <w:lastRenderedPageBreak/>
              <w:t xml:space="preserve">tabelul 2 de la </w:t>
            </w:r>
            <w:r w:rsidRPr="0001399F">
              <w:rPr>
                <w:rFonts w:ascii="Times New Roman" w:hAnsi="Times New Roman" w:cs="Times New Roman"/>
                <w:color w:val="000000" w:themeColor="text1"/>
                <w:lang w:val="ro-MD"/>
              </w:rPr>
              <w:t>pct.361 din Regulamentul privind cerințe de fonduri proprii pentru riscul de piață</w:t>
            </w:r>
            <w:r w:rsidR="007E64D8" w:rsidRPr="00E912EB">
              <w:rPr>
                <w:rFonts w:ascii="Times New Roman" w:hAnsi="Times New Roman" w:cs="Times New Roman"/>
                <w:color w:val="000000" w:themeColor="text1"/>
                <w:lang w:val="ro-MD"/>
              </w:rPr>
              <w:t xml:space="preserve"> sunt cele</w:t>
            </w:r>
            <w:r w:rsidR="007E64D8">
              <w:rPr>
                <w:rFonts w:ascii="Times New Roman" w:hAnsi="Times New Roman" w:cs="Times New Roman"/>
                <w:color w:val="000000" w:themeColor="text1"/>
                <w:lang w:val="ro-MD"/>
              </w:rPr>
              <w:t xml:space="preserve"> </w:t>
            </w:r>
            <w:r w:rsidR="007E64D8" w:rsidRPr="00E912EB">
              <w:rPr>
                <w:rFonts w:ascii="Times New Roman" w:hAnsi="Times New Roman" w:cs="Times New Roman"/>
                <w:color w:val="000000" w:themeColor="text1"/>
                <w:lang w:val="ro-MD"/>
              </w:rPr>
              <w:t xml:space="preserve">enumerate în </w:t>
            </w:r>
            <w:r w:rsidRPr="0001399F">
              <w:rPr>
                <w:rFonts w:ascii="Times New Roman" w:hAnsi="Times New Roman" w:cs="Times New Roman"/>
                <w:color w:val="000000" w:themeColor="text1"/>
                <w:lang w:val="ro-MD"/>
              </w:rPr>
              <w:t>tabelul nr.</w:t>
            </w:r>
            <w:r>
              <w:rPr>
                <w:rFonts w:ascii="Times New Roman" w:hAnsi="Times New Roman" w:cs="Times New Roman"/>
                <w:color w:val="000000" w:themeColor="text1"/>
                <w:lang w:val="ro-MD"/>
              </w:rPr>
              <w:t>2</w:t>
            </w:r>
            <w:r w:rsidRPr="0001399F">
              <w:rPr>
                <w:rFonts w:ascii="Times New Roman" w:hAnsi="Times New Roman" w:cs="Times New Roman"/>
                <w:color w:val="000000" w:themeColor="text1"/>
                <w:lang w:val="ro-MD"/>
              </w:rPr>
              <w:t xml:space="preserve"> la prezenta anexă</w:t>
            </w:r>
            <w:r w:rsidR="007E64D8" w:rsidRPr="00E912EB">
              <w:rPr>
                <w:rFonts w:ascii="Times New Roman" w:hAnsi="Times New Roman" w:cs="Times New Roman"/>
                <w:color w:val="000000" w:themeColor="text1"/>
                <w:lang w:val="ro-MD"/>
              </w:rPr>
              <w:t>.</w:t>
            </w:r>
            <w:bookmarkEnd w:id="24"/>
          </w:p>
        </w:tc>
        <w:tc>
          <w:tcPr>
            <w:tcW w:w="450" w:type="pct"/>
          </w:tcPr>
          <w:p w14:paraId="279DAEB6" w14:textId="6422CD53" w:rsidR="007E64D8" w:rsidRPr="00C25E6D" w:rsidRDefault="00235B11" w:rsidP="007E64D8">
            <w:pPr>
              <w:spacing w:line="276" w:lineRule="auto"/>
              <w:rPr>
                <w:rFonts w:ascii="Times New Roman" w:hAnsi="Times New Roman" w:cs="Times New Roman"/>
                <w:color w:val="000000" w:themeColor="text1"/>
                <w:lang w:val="ro-MD"/>
              </w:rPr>
            </w:pPr>
            <w:r>
              <w:rPr>
                <w:rFonts w:ascii="Times New Roman" w:hAnsi="Times New Roman" w:cs="Times New Roman"/>
                <w:color w:val="000000" w:themeColor="text1"/>
                <w:lang w:val="ro-MD"/>
              </w:rPr>
              <w:lastRenderedPageBreak/>
              <w:t>compatibil</w:t>
            </w:r>
          </w:p>
        </w:tc>
        <w:tc>
          <w:tcPr>
            <w:tcW w:w="1261" w:type="pct"/>
          </w:tcPr>
          <w:p w14:paraId="67444C83" w14:textId="77777777" w:rsidR="007E64D8" w:rsidRPr="00C25E6D" w:rsidRDefault="007E64D8" w:rsidP="007E64D8">
            <w:pPr>
              <w:spacing w:line="276" w:lineRule="auto"/>
              <w:rPr>
                <w:rFonts w:ascii="Times New Roman" w:hAnsi="Times New Roman" w:cs="Times New Roman"/>
                <w:color w:val="000000" w:themeColor="text1"/>
                <w:lang w:val="ro-MD"/>
              </w:rPr>
            </w:pPr>
          </w:p>
        </w:tc>
      </w:tr>
      <w:tr w:rsidR="007E64D8" w:rsidRPr="00D32658" w14:paraId="0D5E289A"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46CD6339" w14:textId="32B2F7D1" w:rsidR="007E64D8" w:rsidRPr="00E912EB" w:rsidRDefault="007E64D8" w:rsidP="007E64D8">
            <w:pPr>
              <w:spacing w:line="276" w:lineRule="auto"/>
              <w:rPr>
                <w:rFonts w:ascii="Times New Roman" w:hAnsi="Times New Roman" w:cs="Times New Roman"/>
                <w:color w:val="000000" w:themeColor="text1"/>
                <w:lang w:val="ro-MD"/>
              </w:rPr>
            </w:pPr>
            <w:r w:rsidRPr="00E912EB">
              <w:rPr>
                <w:rFonts w:ascii="Times New Roman" w:hAnsi="Times New Roman" w:cs="Times New Roman"/>
                <w:color w:val="000000" w:themeColor="text1"/>
                <w:lang w:val="ro-MD"/>
              </w:rPr>
              <w:t>Articolul 7</w:t>
            </w:r>
            <w:r>
              <w:rPr>
                <w:rFonts w:ascii="Times New Roman" w:hAnsi="Times New Roman" w:cs="Times New Roman"/>
                <w:color w:val="000000" w:themeColor="text1"/>
                <w:lang w:val="ro-MD"/>
              </w:rPr>
              <w:t xml:space="preserve"> </w:t>
            </w:r>
            <w:r w:rsidRPr="00E912EB">
              <w:rPr>
                <w:rFonts w:ascii="Times New Roman" w:hAnsi="Times New Roman" w:cs="Times New Roman"/>
                <w:b/>
                <w:bCs/>
                <w:color w:val="000000" w:themeColor="text1"/>
                <w:lang w:val="ro-MD"/>
              </w:rPr>
              <w:t>Definiția capitalizării de piață scăzute și ridicate</w:t>
            </w:r>
          </w:p>
        </w:tc>
        <w:tc>
          <w:tcPr>
            <w:tcW w:w="1692" w:type="pct"/>
          </w:tcPr>
          <w:p w14:paraId="506462AA" w14:textId="6173E1DD" w:rsidR="007E64D8" w:rsidRPr="00C25E6D" w:rsidRDefault="00404045" w:rsidP="007E64D8">
            <w:pPr>
              <w:spacing w:line="276" w:lineRule="auto"/>
              <w:rPr>
                <w:rFonts w:ascii="Times New Roman" w:hAnsi="Times New Roman" w:cs="Times New Roman"/>
                <w:b/>
                <w:color w:val="000000" w:themeColor="text1"/>
                <w:lang w:val="ro-MD"/>
              </w:rPr>
            </w:pPr>
            <w:bookmarkStart w:id="25" w:name="_Hlk223695850"/>
            <w:r w:rsidRPr="00404045">
              <w:rPr>
                <w:rFonts w:ascii="Times New Roman" w:hAnsi="Times New Roman" w:cs="Times New Roman"/>
                <w:color w:val="000000" w:themeColor="text1"/>
                <w:lang w:val="ro-MD"/>
              </w:rPr>
              <w:t xml:space="preserve">Subsecțiunea </w:t>
            </w:r>
            <w:r>
              <w:rPr>
                <w:rFonts w:ascii="Times New Roman" w:hAnsi="Times New Roman" w:cs="Times New Roman"/>
                <w:color w:val="000000" w:themeColor="text1"/>
                <w:lang w:val="ro-MD"/>
              </w:rPr>
              <w:t>3</w:t>
            </w:r>
            <w:r w:rsidRPr="00404045">
              <w:rPr>
                <w:rFonts w:ascii="Times New Roman" w:hAnsi="Times New Roman" w:cs="Times New Roman"/>
                <w:color w:val="000000" w:themeColor="text1"/>
                <w:lang w:val="ro-MD"/>
              </w:rPr>
              <w:t>.</w:t>
            </w:r>
            <w:r w:rsidRPr="00404045">
              <w:rPr>
                <w:rFonts w:ascii="Times New Roman" w:hAnsi="Times New Roman" w:cs="Times New Roman"/>
                <w:b/>
                <w:bCs/>
                <w:color w:val="000000" w:themeColor="text1"/>
                <w:lang w:val="ro-MD"/>
              </w:rPr>
              <w:t xml:space="preserve"> </w:t>
            </w:r>
            <w:r w:rsidR="007E64D8">
              <w:rPr>
                <w:rFonts w:ascii="Times New Roman" w:hAnsi="Times New Roman" w:cs="Times New Roman"/>
                <w:color w:val="000000" w:themeColor="text1"/>
                <w:lang w:val="ro-MD"/>
              </w:rPr>
              <w:t xml:space="preserve"> </w:t>
            </w:r>
            <w:r w:rsidR="007E64D8" w:rsidRPr="00E912EB">
              <w:rPr>
                <w:rFonts w:ascii="Times New Roman" w:hAnsi="Times New Roman" w:cs="Times New Roman"/>
                <w:b/>
                <w:bCs/>
                <w:color w:val="000000" w:themeColor="text1"/>
                <w:lang w:val="ro-MD"/>
              </w:rPr>
              <w:t>Definiția capitalizării de piață scăzute și ridicate</w:t>
            </w:r>
            <w:bookmarkEnd w:id="25"/>
          </w:p>
        </w:tc>
        <w:tc>
          <w:tcPr>
            <w:tcW w:w="450" w:type="pct"/>
          </w:tcPr>
          <w:p w14:paraId="3629EF3F" w14:textId="77777777" w:rsidR="007E64D8" w:rsidRPr="00C25E6D" w:rsidRDefault="007E64D8" w:rsidP="007E64D8">
            <w:pPr>
              <w:spacing w:line="276" w:lineRule="auto"/>
              <w:rPr>
                <w:rFonts w:ascii="Times New Roman" w:hAnsi="Times New Roman" w:cs="Times New Roman"/>
                <w:color w:val="000000" w:themeColor="text1"/>
                <w:lang w:val="ro-MD"/>
              </w:rPr>
            </w:pPr>
          </w:p>
        </w:tc>
        <w:tc>
          <w:tcPr>
            <w:tcW w:w="1261" w:type="pct"/>
          </w:tcPr>
          <w:p w14:paraId="01CC156A" w14:textId="77777777" w:rsidR="007E64D8" w:rsidRPr="00C25E6D" w:rsidRDefault="007E64D8" w:rsidP="007E64D8">
            <w:pPr>
              <w:spacing w:line="276" w:lineRule="auto"/>
              <w:rPr>
                <w:rFonts w:ascii="Times New Roman" w:hAnsi="Times New Roman" w:cs="Times New Roman"/>
                <w:color w:val="000000" w:themeColor="text1"/>
                <w:lang w:val="ro-MD"/>
              </w:rPr>
            </w:pPr>
          </w:p>
        </w:tc>
      </w:tr>
      <w:tr w:rsidR="009E7456" w:rsidRPr="009E7456" w14:paraId="785968D6" w14:textId="77777777" w:rsidTr="00102E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53"/>
        </w:trPr>
        <w:tc>
          <w:tcPr>
            <w:tcW w:w="1597" w:type="pct"/>
          </w:tcPr>
          <w:p w14:paraId="625C9D38" w14:textId="77777777" w:rsidR="009E7456" w:rsidRPr="00E912EB" w:rsidRDefault="009E7456" w:rsidP="007E64D8">
            <w:pPr>
              <w:spacing w:line="276" w:lineRule="auto"/>
              <w:jc w:val="both"/>
              <w:rPr>
                <w:rFonts w:ascii="Times New Roman" w:hAnsi="Times New Roman" w:cs="Times New Roman"/>
                <w:color w:val="000000" w:themeColor="text1"/>
                <w:lang w:val="ro-MD"/>
              </w:rPr>
            </w:pPr>
            <w:r w:rsidRPr="00E912EB">
              <w:rPr>
                <w:rFonts w:ascii="Times New Roman" w:hAnsi="Times New Roman" w:cs="Times New Roman"/>
                <w:color w:val="000000" w:themeColor="text1"/>
                <w:lang w:val="ro-MD"/>
              </w:rPr>
              <w:t>(1) În sensul subcategoriilor „Prețul titlurilor de capital” și „Volatilitate” ale categoriei generale de factori de risc „Titluri de</w:t>
            </w:r>
            <w:r>
              <w:rPr>
                <w:rFonts w:ascii="Times New Roman" w:hAnsi="Times New Roman" w:cs="Times New Roman"/>
                <w:color w:val="000000" w:themeColor="text1"/>
                <w:lang w:val="ro-MD"/>
              </w:rPr>
              <w:t xml:space="preserve"> </w:t>
            </w:r>
            <w:r w:rsidRPr="00E912EB">
              <w:rPr>
                <w:rFonts w:ascii="Times New Roman" w:hAnsi="Times New Roman" w:cs="Times New Roman"/>
                <w:color w:val="000000" w:themeColor="text1"/>
                <w:lang w:val="ro-MD"/>
              </w:rPr>
              <w:t>capital” menționate în tabelul 2 de la articolul 325bd din Regulamentul (UE) nr. 575/2013, un titlu de capital cu</w:t>
            </w:r>
            <w:r>
              <w:rPr>
                <w:rFonts w:ascii="Times New Roman" w:hAnsi="Times New Roman" w:cs="Times New Roman"/>
                <w:color w:val="000000" w:themeColor="text1"/>
                <w:lang w:val="ro-MD"/>
              </w:rPr>
              <w:t xml:space="preserve"> </w:t>
            </w:r>
            <w:r w:rsidRPr="00E912EB">
              <w:rPr>
                <w:rFonts w:ascii="Times New Roman" w:hAnsi="Times New Roman" w:cs="Times New Roman"/>
                <w:color w:val="000000" w:themeColor="text1"/>
                <w:lang w:val="ro-MD"/>
              </w:rPr>
              <w:t>capitalizare de piață ridicată trebuie să îndeplinească cel puțin una dintre următoarele condiții:</w:t>
            </w:r>
          </w:p>
          <w:p w14:paraId="16085E43" w14:textId="77777777" w:rsidR="009E7456" w:rsidRPr="00E912EB" w:rsidRDefault="009E7456" w:rsidP="007E64D8">
            <w:pPr>
              <w:spacing w:line="276" w:lineRule="auto"/>
              <w:jc w:val="both"/>
              <w:rPr>
                <w:rFonts w:ascii="Times New Roman" w:hAnsi="Times New Roman" w:cs="Times New Roman"/>
                <w:color w:val="000000" w:themeColor="text1"/>
                <w:lang w:val="ro-MD"/>
              </w:rPr>
            </w:pPr>
            <w:r w:rsidRPr="000E5F90">
              <w:rPr>
                <w:rFonts w:ascii="Times New Roman" w:hAnsi="Times New Roman" w:cs="Times New Roman"/>
                <w:color w:val="000000" w:themeColor="text1"/>
                <w:lang w:val="ro-MD"/>
              </w:rPr>
              <w:t>(a) capitalizarea de piață a titlului de capital este mai mare de 1,75 miliarde EUR;</w:t>
            </w:r>
          </w:p>
          <w:p w14:paraId="7A3D95B4" w14:textId="5A14FFEA" w:rsidR="009E7456" w:rsidRPr="00E912EB" w:rsidRDefault="009E7456" w:rsidP="007E64D8">
            <w:pPr>
              <w:spacing w:line="276" w:lineRule="auto"/>
              <w:jc w:val="both"/>
              <w:rPr>
                <w:rFonts w:ascii="Times New Roman" w:hAnsi="Times New Roman" w:cs="Times New Roman"/>
                <w:color w:val="000000" w:themeColor="text1"/>
                <w:lang w:val="ro-MD"/>
              </w:rPr>
            </w:pPr>
            <w:r w:rsidRPr="000E5F90">
              <w:rPr>
                <w:rFonts w:ascii="Times New Roman" w:hAnsi="Times New Roman" w:cs="Times New Roman"/>
                <w:color w:val="000000" w:themeColor="text1"/>
                <w:lang w:val="ro-MD"/>
              </w:rPr>
              <w:t>(b) titlul de capital este inclus în unul dintre indicii principali prevăzuți în anexa I la Regulamentul de punere în aplicare (UE) 2016/1646, ale cărui componente sunt toate cotate în Uniune.</w:t>
            </w:r>
          </w:p>
        </w:tc>
        <w:tc>
          <w:tcPr>
            <w:tcW w:w="1692" w:type="pct"/>
          </w:tcPr>
          <w:p w14:paraId="68AB0F53" w14:textId="01FDC576" w:rsidR="009E7456" w:rsidRPr="00E912EB" w:rsidRDefault="009E7456" w:rsidP="007E64D8">
            <w:pPr>
              <w:spacing w:line="276" w:lineRule="auto"/>
              <w:jc w:val="both"/>
              <w:rPr>
                <w:rFonts w:ascii="Times New Roman" w:hAnsi="Times New Roman" w:cs="Times New Roman"/>
                <w:color w:val="000000" w:themeColor="text1"/>
                <w:lang w:val="ro-MD"/>
              </w:rPr>
            </w:pPr>
            <w:bookmarkStart w:id="26" w:name="_Hlk223695868"/>
            <w:r>
              <w:rPr>
                <w:rFonts w:ascii="Times New Roman" w:hAnsi="Times New Roman" w:cs="Times New Roman"/>
                <w:color w:val="000000" w:themeColor="text1"/>
                <w:lang w:val="ro-MD"/>
              </w:rPr>
              <w:t>17.</w:t>
            </w:r>
            <w:r w:rsidRPr="00E912EB">
              <w:rPr>
                <w:rFonts w:ascii="Times New Roman" w:hAnsi="Times New Roman" w:cs="Times New Roman"/>
                <w:color w:val="000000" w:themeColor="text1"/>
                <w:lang w:val="ro-MD"/>
              </w:rPr>
              <w:t xml:space="preserve"> În sensul subcategoriilor „Prețul titlurilor de capital” și „Volatilitate” ale categoriei generale de factori de risc „Titluri de</w:t>
            </w:r>
            <w:r>
              <w:rPr>
                <w:rFonts w:ascii="Times New Roman" w:hAnsi="Times New Roman" w:cs="Times New Roman"/>
                <w:color w:val="000000" w:themeColor="text1"/>
                <w:lang w:val="ro-MD"/>
              </w:rPr>
              <w:t xml:space="preserve"> </w:t>
            </w:r>
            <w:r w:rsidRPr="00E912EB">
              <w:rPr>
                <w:rFonts w:ascii="Times New Roman" w:hAnsi="Times New Roman" w:cs="Times New Roman"/>
                <w:color w:val="000000" w:themeColor="text1"/>
                <w:lang w:val="ro-MD"/>
              </w:rPr>
              <w:t xml:space="preserve">capital” menționate în tabelul 2 de la </w:t>
            </w:r>
            <w:r w:rsidRPr="009E7456">
              <w:rPr>
                <w:rFonts w:ascii="Times New Roman" w:hAnsi="Times New Roman" w:cs="Times New Roman"/>
                <w:color w:val="000000" w:themeColor="text1"/>
                <w:lang w:val="ro-MD"/>
              </w:rPr>
              <w:t>pct.361 din Regulamentul privind cerințe de fonduri proprii pentru riscul de piață</w:t>
            </w:r>
            <w:r w:rsidRPr="00E912EB">
              <w:rPr>
                <w:rFonts w:ascii="Times New Roman" w:hAnsi="Times New Roman" w:cs="Times New Roman"/>
                <w:color w:val="000000" w:themeColor="text1"/>
                <w:lang w:val="ro-MD"/>
              </w:rPr>
              <w:t>, un titlu de capital cu</w:t>
            </w:r>
            <w:r>
              <w:rPr>
                <w:rFonts w:ascii="Times New Roman" w:hAnsi="Times New Roman" w:cs="Times New Roman"/>
                <w:color w:val="000000" w:themeColor="text1"/>
                <w:lang w:val="ro-MD"/>
              </w:rPr>
              <w:t xml:space="preserve"> </w:t>
            </w:r>
            <w:r w:rsidRPr="00E912EB">
              <w:rPr>
                <w:rFonts w:ascii="Times New Roman" w:hAnsi="Times New Roman" w:cs="Times New Roman"/>
                <w:color w:val="000000" w:themeColor="text1"/>
                <w:lang w:val="ro-MD"/>
              </w:rPr>
              <w:t>capitalizare de piață ridicată trebuie să îndeplinească cel puțin una dintre următoarele condiții:</w:t>
            </w:r>
          </w:p>
          <w:p w14:paraId="0577E45F" w14:textId="7F8CF763" w:rsidR="009E7456" w:rsidRPr="00E912EB" w:rsidRDefault="009E7456" w:rsidP="007E64D8">
            <w:pPr>
              <w:spacing w:line="276"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17.1.</w:t>
            </w:r>
            <w:r w:rsidRPr="00F577AD">
              <w:rPr>
                <w:rFonts w:ascii="Times New Roman" w:hAnsi="Times New Roman" w:cs="Times New Roman"/>
                <w:color w:val="000000" w:themeColor="text1"/>
                <w:lang w:val="ro-MD"/>
              </w:rPr>
              <w:t xml:space="preserve"> capitalizarea de piață a titlului de capital este mai mare de 1,75 miliarde EUR;</w:t>
            </w:r>
          </w:p>
          <w:p w14:paraId="27A519FF" w14:textId="43096A3B" w:rsidR="009E7456" w:rsidRPr="00E912EB" w:rsidRDefault="009E7456" w:rsidP="00235B11">
            <w:pPr>
              <w:spacing w:line="276" w:lineRule="auto"/>
              <w:jc w:val="both"/>
              <w:rPr>
                <w:rFonts w:ascii="Times New Roman" w:hAnsi="Times New Roman" w:cs="Times New Roman"/>
                <w:color w:val="000000" w:themeColor="text1"/>
                <w:lang w:val="ro-MD"/>
              </w:rPr>
            </w:pPr>
            <w:r>
              <w:rPr>
                <w:rFonts w:ascii="Times New Roman" w:hAnsi="Times New Roman" w:cs="Times New Roman"/>
                <w:color w:val="000000" w:themeColor="text1"/>
                <w:lang w:val="ro-MD"/>
              </w:rPr>
              <w:t>17.2.</w:t>
            </w:r>
            <w:r w:rsidRPr="00F577AD">
              <w:rPr>
                <w:rFonts w:ascii="Times New Roman" w:hAnsi="Times New Roman" w:cs="Times New Roman"/>
                <w:color w:val="000000" w:themeColor="text1"/>
                <w:lang w:val="ro-MD"/>
              </w:rPr>
              <w:t xml:space="preserve"> titlul de capital este inclus în unul dintre indicii principali prevăzuți în</w:t>
            </w:r>
            <w:r w:rsidR="00235B11">
              <w:rPr>
                <w:rFonts w:ascii="Times New Roman" w:hAnsi="Times New Roman" w:cs="Times New Roman"/>
                <w:color w:val="000000" w:themeColor="text1"/>
                <w:lang w:val="ro-MD"/>
              </w:rPr>
              <w:t xml:space="preserve"> pct.25, subpct.7) din Regulamentul </w:t>
            </w:r>
            <w:r w:rsidR="00C627EC">
              <w:rPr>
                <w:rFonts w:ascii="Times New Roman" w:hAnsi="Times New Roman" w:cs="Times New Roman"/>
                <w:color w:val="000000" w:themeColor="text1"/>
                <w:lang w:val="ro-MD"/>
              </w:rPr>
              <w:t xml:space="preserve"> </w:t>
            </w:r>
            <w:r w:rsidR="00235B11" w:rsidRPr="00235B11">
              <w:rPr>
                <w:rFonts w:ascii="Times New Roman" w:hAnsi="Times New Roman" w:cs="Times New Roman"/>
                <w:color w:val="000000" w:themeColor="text1"/>
                <w:lang w:val="ro-MD"/>
              </w:rPr>
              <w:t>cu privire la tehnicile</w:t>
            </w:r>
            <w:r w:rsidR="00235B11">
              <w:rPr>
                <w:rFonts w:ascii="Times New Roman" w:hAnsi="Times New Roman" w:cs="Times New Roman"/>
                <w:color w:val="000000" w:themeColor="text1"/>
                <w:lang w:val="ro-MD"/>
              </w:rPr>
              <w:t xml:space="preserve"> </w:t>
            </w:r>
            <w:r w:rsidR="00235B11" w:rsidRPr="00235B11">
              <w:rPr>
                <w:rFonts w:ascii="Times New Roman" w:hAnsi="Times New Roman" w:cs="Times New Roman"/>
                <w:color w:val="000000" w:themeColor="text1"/>
                <w:lang w:val="ro-MD"/>
              </w:rPr>
              <w:t>de diminuare a riscului de credit utilizate de bănci</w:t>
            </w:r>
            <w:r w:rsidR="00C627EC">
              <w:rPr>
                <w:rFonts w:ascii="Times New Roman" w:hAnsi="Times New Roman" w:cs="Times New Roman"/>
                <w:color w:val="000000" w:themeColor="text1"/>
                <w:lang w:val="ro-MD"/>
              </w:rPr>
              <w:t xml:space="preserve">, </w:t>
            </w:r>
            <w:bookmarkStart w:id="27" w:name="_Hlk225320378"/>
            <w:r w:rsidR="00C627EC">
              <w:rPr>
                <w:rFonts w:ascii="Times New Roman" w:hAnsi="Times New Roman" w:cs="Times New Roman"/>
                <w:color w:val="000000" w:themeColor="text1"/>
                <w:lang w:val="ro-MD"/>
              </w:rPr>
              <w:t xml:space="preserve">aprobat prin hotărârea Comitetului executiv al BNM nr.112/2018 </w:t>
            </w:r>
            <w:bookmarkEnd w:id="27"/>
            <w:r w:rsidRPr="00F577AD">
              <w:rPr>
                <w:rFonts w:ascii="Times New Roman" w:hAnsi="Times New Roman" w:cs="Times New Roman"/>
                <w:color w:val="000000" w:themeColor="text1"/>
                <w:lang w:val="ro-MD"/>
              </w:rPr>
              <w:t>, ale cărui componente sunt toate cotate în Uniune</w:t>
            </w:r>
            <w:r w:rsidR="0083341C">
              <w:rPr>
                <w:rFonts w:ascii="Times New Roman" w:hAnsi="Times New Roman" w:cs="Times New Roman"/>
                <w:color w:val="000000" w:themeColor="text1"/>
                <w:lang w:val="ro-MD"/>
              </w:rPr>
              <w:t>a Europeană</w:t>
            </w:r>
            <w:r w:rsidRPr="00F577AD">
              <w:rPr>
                <w:rFonts w:ascii="Times New Roman" w:hAnsi="Times New Roman" w:cs="Times New Roman"/>
                <w:color w:val="000000" w:themeColor="text1"/>
                <w:lang w:val="ro-MD"/>
              </w:rPr>
              <w:t>.</w:t>
            </w:r>
            <w:bookmarkEnd w:id="26"/>
          </w:p>
        </w:tc>
        <w:tc>
          <w:tcPr>
            <w:tcW w:w="450" w:type="pct"/>
          </w:tcPr>
          <w:p w14:paraId="03E30C01" w14:textId="6E53061F" w:rsidR="009E7456" w:rsidRPr="00C25E6D" w:rsidRDefault="00235B11" w:rsidP="007E64D8">
            <w:pPr>
              <w:spacing w:line="276" w:lineRule="auto"/>
              <w:rPr>
                <w:rFonts w:ascii="Times New Roman" w:hAnsi="Times New Roman" w:cs="Times New Roman"/>
                <w:color w:val="000000" w:themeColor="text1"/>
                <w:lang w:val="ro-MD"/>
              </w:rPr>
            </w:pPr>
            <w:r>
              <w:rPr>
                <w:rFonts w:ascii="Times New Roman" w:hAnsi="Times New Roman" w:cs="Times New Roman"/>
                <w:color w:val="000000" w:themeColor="text1"/>
                <w:lang w:val="ro-MD"/>
              </w:rPr>
              <w:t>compatibil</w:t>
            </w:r>
          </w:p>
        </w:tc>
        <w:tc>
          <w:tcPr>
            <w:tcW w:w="1261" w:type="pct"/>
          </w:tcPr>
          <w:p w14:paraId="385036F7" w14:textId="77777777" w:rsidR="009E7456" w:rsidRPr="00C25E6D" w:rsidRDefault="009E7456" w:rsidP="007E64D8">
            <w:pPr>
              <w:spacing w:line="276" w:lineRule="auto"/>
              <w:rPr>
                <w:rFonts w:ascii="Times New Roman" w:hAnsi="Times New Roman" w:cs="Times New Roman"/>
                <w:color w:val="000000" w:themeColor="text1"/>
                <w:lang w:val="ro-MD"/>
              </w:rPr>
            </w:pPr>
          </w:p>
        </w:tc>
      </w:tr>
      <w:tr w:rsidR="007E64D8" w:rsidRPr="00D32658" w14:paraId="7A8BD1D5"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710FEC83" w14:textId="42565C4B" w:rsidR="007E64D8" w:rsidRPr="00E912EB" w:rsidRDefault="007E64D8" w:rsidP="007E64D8">
            <w:pPr>
              <w:spacing w:line="276" w:lineRule="auto"/>
              <w:jc w:val="both"/>
              <w:rPr>
                <w:rFonts w:ascii="Times New Roman" w:hAnsi="Times New Roman" w:cs="Times New Roman"/>
                <w:color w:val="000000" w:themeColor="text1"/>
                <w:lang w:val="ro-MD"/>
              </w:rPr>
            </w:pPr>
            <w:r w:rsidRPr="00E912EB">
              <w:rPr>
                <w:rFonts w:ascii="Times New Roman" w:hAnsi="Times New Roman" w:cs="Times New Roman"/>
                <w:color w:val="000000" w:themeColor="text1"/>
                <w:lang w:val="ro-MD"/>
              </w:rPr>
              <w:lastRenderedPageBreak/>
              <w:t>(2) Toate titlurile de capital diferite de cele menționate la alineatul (1) sunt considerate titluri de capital cu capitalizare de</w:t>
            </w:r>
            <w:r>
              <w:rPr>
                <w:rFonts w:ascii="Times New Roman" w:hAnsi="Times New Roman" w:cs="Times New Roman"/>
                <w:color w:val="000000" w:themeColor="text1"/>
                <w:lang w:val="ro-MD"/>
              </w:rPr>
              <w:t xml:space="preserve"> </w:t>
            </w:r>
            <w:r w:rsidRPr="00E912EB">
              <w:rPr>
                <w:rFonts w:ascii="Times New Roman" w:hAnsi="Times New Roman" w:cs="Times New Roman"/>
                <w:color w:val="000000" w:themeColor="text1"/>
                <w:lang w:val="ro-MD"/>
              </w:rPr>
              <w:t>piață redusă.</w:t>
            </w:r>
          </w:p>
        </w:tc>
        <w:tc>
          <w:tcPr>
            <w:tcW w:w="1692" w:type="pct"/>
          </w:tcPr>
          <w:p w14:paraId="0AF14F7C" w14:textId="22E9F1D5" w:rsidR="007E64D8" w:rsidRPr="00E912EB" w:rsidRDefault="0083341C" w:rsidP="007E64D8">
            <w:pPr>
              <w:spacing w:line="276" w:lineRule="auto"/>
              <w:jc w:val="both"/>
              <w:rPr>
                <w:rFonts w:ascii="Times New Roman" w:hAnsi="Times New Roman" w:cs="Times New Roman"/>
                <w:color w:val="000000" w:themeColor="text1"/>
                <w:lang w:val="ro-MD"/>
              </w:rPr>
            </w:pPr>
            <w:bookmarkStart w:id="28" w:name="_Hlk223695890"/>
            <w:r>
              <w:rPr>
                <w:rFonts w:ascii="Times New Roman" w:hAnsi="Times New Roman" w:cs="Times New Roman"/>
                <w:color w:val="000000" w:themeColor="text1"/>
                <w:lang w:val="ro-MD"/>
              </w:rPr>
              <w:t>18.</w:t>
            </w:r>
            <w:r w:rsidR="007E64D8" w:rsidRPr="00E912EB">
              <w:rPr>
                <w:rFonts w:ascii="Times New Roman" w:hAnsi="Times New Roman" w:cs="Times New Roman"/>
                <w:color w:val="000000" w:themeColor="text1"/>
                <w:lang w:val="ro-MD"/>
              </w:rPr>
              <w:t xml:space="preserve"> Toate titlurile de capital diferite de cele menționate la </w:t>
            </w:r>
            <w:r>
              <w:rPr>
                <w:rFonts w:ascii="Times New Roman" w:hAnsi="Times New Roman" w:cs="Times New Roman"/>
                <w:color w:val="000000" w:themeColor="text1"/>
                <w:lang w:val="ro-MD"/>
              </w:rPr>
              <w:t>pct.17</w:t>
            </w:r>
            <w:r w:rsidR="007E64D8" w:rsidRPr="00E912EB">
              <w:rPr>
                <w:rFonts w:ascii="Times New Roman" w:hAnsi="Times New Roman" w:cs="Times New Roman"/>
                <w:color w:val="000000" w:themeColor="text1"/>
                <w:lang w:val="ro-MD"/>
              </w:rPr>
              <w:t xml:space="preserve"> sunt considerate titluri de capital cu</w:t>
            </w:r>
            <w:r w:rsidR="007E64D8">
              <w:rPr>
                <w:rFonts w:ascii="Times New Roman" w:hAnsi="Times New Roman" w:cs="Times New Roman"/>
                <w:color w:val="000000" w:themeColor="text1"/>
                <w:lang w:val="ro-MD"/>
              </w:rPr>
              <w:t xml:space="preserve"> </w:t>
            </w:r>
            <w:r w:rsidR="007E64D8" w:rsidRPr="00E912EB">
              <w:rPr>
                <w:rFonts w:ascii="Times New Roman" w:hAnsi="Times New Roman" w:cs="Times New Roman"/>
                <w:color w:val="000000" w:themeColor="text1"/>
                <w:lang w:val="ro-MD"/>
              </w:rPr>
              <w:t>capitalizare de</w:t>
            </w:r>
            <w:r w:rsidR="007E64D8">
              <w:rPr>
                <w:rFonts w:ascii="Times New Roman" w:hAnsi="Times New Roman" w:cs="Times New Roman"/>
                <w:color w:val="000000" w:themeColor="text1"/>
                <w:lang w:val="ro-MD"/>
              </w:rPr>
              <w:t xml:space="preserve"> </w:t>
            </w:r>
            <w:r w:rsidR="007E64D8" w:rsidRPr="00E912EB">
              <w:rPr>
                <w:rFonts w:ascii="Times New Roman" w:hAnsi="Times New Roman" w:cs="Times New Roman"/>
                <w:color w:val="000000" w:themeColor="text1"/>
                <w:lang w:val="ro-MD"/>
              </w:rPr>
              <w:t>piață redusă.</w:t>
            </w:r>
            <w:bookmarkEnd w:id="28"/>
          </w:p>
        </w:tc>
        <w:tc>
          <w:tcPr>
            <w:tcW w:w="450" w:type="pct"/>
          </w:tcPr>
          <w:p w14:paraId="6682FF1E" w14:textId="77777777" w:rsidR="007E64D8" w:rsidRPr="00C25E6D" w:rsidRDefault="007E64D8" w:rsidP="007E64D8">
            <w:pPr>
              <w:spacing w:line="276" w:lineRule="auto"/>
              <w:rPr>
                <w:rFonts w:ascii="Times New Roman" w:hAnsi="Times New Roman" w:cs="Times New Roman"/>
                <w:color w:val="000000" w:themeColor="text1"/>
                <w:lang w:val="ro-MD"/>
              </w:rPr>
            </w:pPr>
          </w:p>
        </w:tc>
        <w:tc>
          <w:tcPr>
            <w:tcW w:w="1261" w:type="pct"/>
          </w:tcPr>
          <w:p w14:paraId="4A820F25" w14:textId="77777777" w:rsidR="007E64D8" w:rsidRPr="00C25E6D" w:rsidRDefault="007E64D8" w:rsidP="007E64D8">
            <w:pPr>
              <w:spacing w:line="276" w:lineRule="auto"/>
              <w:rPr>
                <w:rFonts w:ascii="Times New Roman" w:hAnsi="Times New Roman" w:cs="Times New Roman"/>
                <w:color w:val="000000" w:themeColor="text1"/>
                <w:lang w:val="ro-MD"/>
              </w:rPr>
            </w:pPr>
          </w:p>
        </w:tc>
      </w:tr>
      <w:tr w:rsidR="007E64D8" w:rsidRPr="001B0475" w14:paraId="7431C8AE"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4F083DE8" w14:textId="54E84F32" w:rsidR="007E64D8" w:rsidRPr="00E912EB" w:rsidRDefault="007E64D8" w:rsidP="007E64D8">
            <w:pPr>
              <w:spacing w:line="276" w:lineRule="auto"/>
              <w:jc w:val="both"/>
              <w:rPr>
                <w:rFonts w:ascii="Times New Roman" w:hAnsi="Times New Roman" w:cs="Times New Roman"/>
                <w:color w:val="000000" w:themeColor="text1"/>
                <w:lang w:val="ro-MD"/>
              </w:rPr>
            </w:pPr>
            <w:r w:rsidRPr="00E912EB">
              <w:rPr>
                <w:rFonts w:ascii="Times New Roman" w:hAnsi="Times New Roman" w:cs="Times New Roman"/>
                <w:color w:val="000000" w:themeColor="text1"/>
                <w:lang w:val="ro-MD"/>
              </w:rPr>
              <w:t>Articolul 8</w:t>
            </w:r>
            <w:r>
              <w:rPr>
                <w:rFonts w:ascii="Times New Roman" w:hAnsi="Times New Roman" w:cs="Times New Roman"/>
                <w:color w:val="000000" w:themeColor="text1"/>
                <w:lang w:val="ro-MD"/>
              </w:rPr>
              <w:t xml:space="preserve"> </w:t>
            </w:r>
            <w:r w:rsidRPr="00E912EB">
              <w:rPr>
                <w:rFonts w:ascii="Times New Roman" w:hAnsi="Times New Roman" w:cs="Times New Roman"/>
                <w:b/>
                <w:bCs/>
                <w:color w:val="000000" w:themeColor="text1"/>
                <w:lang w:val="ro-MD"/>
              </w:rPr>
              <w:t>Intrare în vigoare</w:t>
            </w:r>
          </w:p>
        </w:tc>
        <w:tc>
          <w:tcPr>
            <w:tcW w:w="1692" w:type="pct"/>
          </w:tcPr>
          <w:p w14:paraId="0A3BD968" w14:textId="74753EB0" w:rsidR="007E64D8" w:rsidRPr="00E912EB" w:rsidRDefault="007E64D8" w:rsidP="007E64D8">
            <w:pPr>
              <w:spacing w:line="276" w:lineRule="auto"/>
              <w:jc w:val="both"/>
              <w:rPr>
                <w:rFonts w:ascii="Times New Roman" w:hAnsi="Times New Roman" w:cs="Times New Roman"/>
                <w:color w:val="000000" w:themeColor="text1"/>
                <w:lang w:val="ro-MD"/>
              </w:rPr>
            </w:pPr>
          </w:p>
        </w:tc>
        <w:tc>
          <w:tcPr>
            <w:tcW w:w="450" w:type="pct"/>
          </w:tcPr>
          <w:p w14:paraId="35102261" w14:textId="6A973B58" w:rsidR="007E64D8" w:rsidRPr="00C25E6D" w:rsidRDefault="00237F1C" w:rsidP="007E64D8">
            <w:pPr>
              <w:spacing w:line="276" w:lineRule="auto"/>
              <w:rPr>
                <w:rFonts w:ascii="Times New Roman" w:hAnsi="Times New Roman" w:cs="Times New Roman"/>
                <w:color w:val="000000" w:themeColor="text1"/>
                <w:lang w:val="ro-MD"/>
              </w:rPr>
            </w:pPr>
            <w:r w:rsidRPr="00D9701E">
              <w:rPr>
                <w:rFonts w:ascii="Times New Roman" w:hAnsi="Times New Roman" w:cs="Times New Roman"/>
                <w:color w:val="000000" w:themeColor="text1"/>
                <w:lang w:val="ro-MD"/>
              </w:rPr>
              <w:t>prevederi UE neaplicabile</w:t>
            </w:r>
          </w:p>
        </w:tc>
        <w:tc>
          <w:tcPr>
            <w:tcW w:w="1261" w:type="pct"/>
          </w:tcPr>
          <w:p w14:paraId="4703B489" w14:textId="77777777" w:rsidR="007E64D8" w:rsidRPr="00C25E6D" w:rsidRDefault="007E64D8" w:rsidP="007E64D8">
            <w:pPr>
              <w:spacing w:line="276" w:lineRule="auto"/>
              <w:rPr>
                <w:rFonts w:ascii="Times New Roman" w:hAnsi="Times New Roman" w:cs="Times New Roman"/>
                <w:color w:val="000000" w:themeColor="text1"/>
                <w:lang w:val="ro-MD"/>
              </w:rPr>
            </w:pPr>
          </w:p>
        </w:tc>
      </w:tr>
      <w:tr w:rsidR="007E64D8" w:rsidRPr="001E1943" w14:paraId="7551C448" w14:textId="77777777" w:rsidTr="00E3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7" w:type="pct"/>
          </w:tcPr>
          <w:p w14:paraId="25148D49" w14:textId="77777777" w:rsidR="007E64D8" w:rsidRDefault="007E64D8" w:rsidP="007E64D8">
            <w:pPr>
              <w:spacing w:line="276" w:lineRule="auto"/>
              <w:jc w:val="both"/>
              <w:rPr>
                <w:rFonts w:ascii="Times New Roman" w:hAnsi="Times New Roman" w:cs="Times New Roman"/>
                <w:color w:val="000000" w:themeColor="text1"/>
                <w:lang w:val="ro-MD"/>
              </w:rPr>
            </w:pPr>
            <w:r w:rsidRPr="00E912EB">
              <w:rPr>
                <w:rFonts w:ascii="Times New Roman" w:hAnsi="Times New Roman" w:cs="Times New Roman"/>
                <w:color w:val="000000" w:themeColor="text1"/>
                <w:lang w:val="ro-MD"/>
              </w:rPr>
              <w:t>Prezentul regulament intră în vigoare în a douăzecea zi de la data publicării în Jurnalul Oficial al Uniunii Europene.</w:t>
            </w:r>
          </w:p>
          <w:p w14:paraId="6E62AB6A" w14:textId="6751B210" w:rsidR="007E64D8" w:rsidRPr="00E912EB" w:rsidRDefault="007E64D8" w:rsidP="007E64D8">
            <w:pPr>
              <w:spacing w:line="276" w:lineRule="auto"/>
              <w:jc w:val="both"/>
              <w:rPr>
                <w:rFonts w:ascii="Times New Roman" w:hAnsi="Times New Roman" w:cs="Times New Roman"/>
                <w:color w:val="000000" w:themeColor="text1"/>
                <w:lang w:val="ro-MD"/>
              </w:rPr>
            </w:pPr>
            <w:r w:rsidRPr="00F02EF6">
              <w:rPr>
                <w:rFonts w:ascii="Times New Roman" w:hAnsi="Times New Roman" w:cs="Times New Roman"/>
                <w:color w:val="000000" w:themeColor="text1"/>
                <w:lang w:val="ro-MD"/>
              </w:rPr>
              <w:t>Prezentul regulament este obligatoriu în toate elementele sale și se aplică direct în toate statele</w:t>
            </w:r>
            <w:r>
              <w:rPr>
                <w:rFonts w:ascii="Times New Roman" w:hAnsi="Times New Roman" w:cs="Times New Roman"/>
                <w:color w:val="000000" w:themeColor="text1"/>
                <w:lang w:val="ro-MD"/>
              </w:rPr>
              <w:t xml:space="preserve"> </w:t>
            </w:r>
            <w:r w:rsidRPr="00F02EF6">
              <w:rPr>
                <w:rFonts w:ascii="Times New Roman" w:hAnsi="Times New Roman" w:cs="Times New Roman"/>
                <w:color w:val="000000" w:themeColor="text1"/>
                <w:lang w:val="ro-MD"/>
              </w:rPr>
              <w:t>membre.</w:t>
            </w:r>
          </w:p>
        </w:tc>
        <w:tc>
          <w:tcPr>
            <w:tcW w:w="1692" w:type="pct"/>
          </w:tcPr>
          <w:p w14:paraId="5A56EA1B" w14:textId="19893ABB" w:rsidR="007E64D8" w:rsidRPr="00E912EB" w:rsidRDefault="007E64D8" w:rsidP="007E64D8">
            <w:pPr>
              <w:spacing w:line="276" w:lineRule="auto"/>
              <w:jc w:val="both"/>
              <w:rPr>
                <w:rFonts w:ascii="Times New Roman" w:hAnsi="Times New Roman" w:cs="Times New Roman"/>
                <w:color w:val="000000" w:themeColor="text1"/>
                <w:lang w:val="ro-MD"/>
              </w:rPr>
            </w:pPr>
          </w:p>
        </w:tc>
        <w:tc>
          <w:tcPr>
            <w:tcW w:w="450" w:type="pct"/>
          </w:tcPr>
          <w:p w14:paraId="535FFD87" w14:textId="77777777" w:rsidR="007E64D8" w:rsidRPr="00C25E6D" w:rsidRDefault="007E64D8" w:rsidP="007E64D8">
            <w:pPr>
              <w:spacing w:line="276" w:lineRule="auto"/>
              <w:rPr>
                <w:rFonts w:ascii="Times New Roman" w:hAnsi="Times New Roman" w:cs="Times New Roman"/>
                <w:color w:val="000000" w:themeColor="text1"/>
                <w:lang w:val="ro-MD"/>
              </w:rPr>
            </w:pPr>
          </w:p>
        </w:tc>
        <w:tc>
          <w:tcPr>
            <w:tcW w:w="1261" w:type="pct"/>
          </w:tcPr>
          <w:p w14:paraId="248DF737" w14:textId="77777777" w:rsidR="007E64D8" w:rsidRPr="00C25E6D" w:rsidRDefault="007E64D8" w:rsidP="007E64D8">
            <w:pPr>
              <w:spacing w:line="276" w:lineRule="auto"/>
              <w:rPr>
                <w:rFonts w:ascii="Times New Roman" w:hAnsi="Times New Roman" w:cs="Times New Roman"/>
                <w:color w:val="000000" w:themeColor="text1"/>
                <w:lang w:val="ro-MD"/>
              </w:rPr>
            </w:pPr>
          </w:p>
        </w:tc>
      </w:tr>
      <w:tr w:rsidR="006E4237" w:rsidRPr="006E4237" w14:paraId="6DA700E2" w14:textId="77777777" w:rsidTr="00461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1"/>
        </w:trPr>
        <w:tc>
          <w:tcPr>
            <w:tcW w:w="1597" w:type="pct"/>
          </w:tcPr>
          <w:p w14:paraId="268097EC" w14:textId="77777777" w:rsidR="006E4237" w:rsidRPr="00F02EF6" w:rsidRDefault="006E4237" w:rsidP="007E64D8">
            <w:pPr>
              <w:spacing w:after="0" w:line="240" w:lineRule="auto"/>
              <w:jc w:val="both"/>
              <w:rPr>
                <w:rFonts w:ascii="Times New Roman" w:hAnsi="Times New Roman" w:cs="Times New Roman"/>
                <w:b/>
                <w:bCs/>
                <w:color w:val="000000" w:themeColor="text1"/>
                <w:lang w:val="ro-MD"/>
              </w:rPr>
            </w:pPr>
            <w:r w:rsidRPr="00F02EF6">
              <w:rPr>
                <w:rFonts w:ascii="Times New Roman" w:hAnsi="Times New Roman" w:cs="Times New Roman"/>
                <w:color w:val="000000" w:themeColor="text1"/>
                <w:lang w:val="ro-MD"/>
              </w:rPr>
              <w:t>ANEXA I</w:t>
            </w:r>
            <w:r>
              <w:rPr>
                <w:rFonts w:ascii="Times New Roman" w:hAnsi="Times New Roman" w:cs="Times New Roman"/>
                <w:color w:val="000000" w:themeColor="text1"/>
                <w:lang w:val="ro-MD"/>
              </w:rPr>
              <w:t xml:space="preserve"> </w:t>
            </w:r>
            <w:r w:rsidRPr="00F02EF6">
              <w:rPr>
                <w:rFonts w:ascii="Times New Roman" w:hAnsi="Times New Roman" w:cs="Times New Roman"/>
                <w:b/>
                <w:bCs/>
                <w:color w:val="000000" w:themeColor="text1"/>
                <w:lang w:val="ro-MD"/>
              </w:rPr>
              <w:t>Lista celor mai lichide monede menționate la articolul 5</w:t>
            </w:r>
          </w:p>
          <w:p w14:paraId="2E50FD98" w14:textId="77777777" w:rsidR="006E4237" w:rsidRPr="00F02EF6" w:rsidRDefault="006E4237" w:rsidP="007E64D8">
            <w:pPr>
              <w:spacing w:after="0" w:line="240" w:lineRule="auto"/>
              <w:jc w:val="both"/>
              <w:rPr>
                <w:rFonts w:ascii="Times New Roman" w:hAnsi="Times New Roman" w:cs="Times New Roman"/>
                <w:color w:val="000000" w:themeColor="text1"/>
                <w:lang w:val="ro-MD"/>
              </w:rPr>
            </w:pPr>
            <w:r w:rsidRPr="00F02EF6">
              <w:rPr>
                <w:rFonts w:ascii="Times New Roman" w:hAnsi="Times New Roman" w:cs="Times New Roman"/>
                <w:color w:val="000000" w:themeColor="text1"/>
                <w:lang w:val="ro-MD"/>
              </w:rPr>
              <w:t>— euro (EUR);</w:t>
            </w:r>
          </w:p>
          <w:p w14:paraId="741D8748" w14:textId="77777777" w:rsidR="006E4237" w:rsidRPr="00F02EF6" w:rsidRDefault="006E4237" w:rsidP="007E64D8">
            <w:pPr>
              <w:spacing w:after="0" w:line="240" w:lineRule="auto"/>
              <w:jc w:val="both"/>
              <w:rPr>
                <w:rFonts w:ascii="Times New Roman" w:hAnsi="Times New Roman" w:cs="Times New Roman"/>
                <w:color w:val="000000" w:themeColor="text1"/>
                <w:lang w:val="ro-MD"/>
              </w:rPr>
            </w:pPr>
            <w:r w:rsidRPr="00F02EF6">
              <w:rPr>
                <w:rFonts w:ascii="Times New Roman" w:hAnsi="Times New Roman" w:cs="Times New Roman"/>
                <w:color w:val="000000" w:themeColor="text1"/>
                <w:lang w:val="ro-MD"/>
              </w:rPr>
              <w:t>— dolarul american (USD);</w:t>
            </w:r>
          </w:p>
          <w:p w14:paraId="2BDBD7E8" w14:textId="77777777" w:rsidR="006E4237" w:rsidRPr="00F02EF6" w:rsidRDefault="006E4237" w:rsidP="007E64D8">
            <w:pPr>
              <w:spacing w:after="0" w:line="240" w:lineRule="auto"/>
              <w:jc w:val="both"/>
              <w:rPr>
                <w:rFonts w:ascii="Times New Roman" w:hAnsi="Times New Roman" w:cs="Times New Roman"/>
                <w:color w:val="000000" w:themeColor="text1"/>
                <w:lang w:val="ro-MD"/>
              </w:rPr>
            </w:pPr>
            <w:r w:rsidRPr="00F02EF6">
              <w:rPr>
                <w:rFonts w:ascii="Times New Roman" w:hAnsi="Times New Roman" w:cs="Times New Roman"/>
                <w:color w:val="000000" w:themeColor="text1"/>
                <w:lang w:val="ro-MD"/>
              </w:rPr>
              <w:t>— lira sterlină (GBP);</w:t>
            </w:r>
          </w:p>
          <w:p w14:paraId="2BF6B7C6" w14:textId="77777777" w:rsidR="006E4237" w:rsidRPr="00F02EF6" w:rsidRDefault="006E4237" w:rsidP="007E64D8">
            <w:pPr>
              <w:spacing w:after="0" w:line="240" w:lineRule="auto"/>
              <w:jc w:val="both"/>
              <w:rPr>
                <w:rFonts w:ascii="Times New Roman" w:hAnsi="Times New Roman" w:cs="Times New Roman"/>
                <w:color w:val="000000" w:themeColor="text1"/>
                <w:lang w:val="ro-MD"/>
              </w:rPr>
            </w:pPr>
            <w:r w:rsidRPr="00F02EF6">
              <w:rPr>
                <w:rFonts w:ascii="Times New Roman" w:hAnsi="Times New Roman" w:cs="Times New Roman"/>
                <w:color w:val="000000" w:themeColor="text1"/>
                <w:lang w:val="ro-MD"/>
              </w:rPr>
              <w:t>— yenul japonez (JPY);</w:t>
            </w:r>
          </w:p>
          <w:p w14:paraId="32F4EE43" w14:textId="77777777" w:rsidR="006E4237" w:rsidRPr="00F02EF6" w:rsidRDefault="006E4237" w:rsidP="007E64D8">
            <w:pPr>
              <w:spacing w:after="0" w:line="240" w:lineRule="auto"/>
              <w:jc w:val="both"/>
              <w:rPr>
                <w:rFonts w:ascii="Times New Roman" w:hAnsi="Times New Roman" w:cs="Times New Roman"/>
                <w:color w:val="000000" w:themeColor="text1"/>
                <w:lang w:val="ro-MD"/>
              </w:rPr>
            </w:pPr>
            <w:r w:rsidRPr="00F02EF6">
              <w:rPr>
                <w:rFonts w:ascii="Times New Roman" w:hAnsi="Times New Roman" w:cs="Times New Roman"/>
                <w:color w:val="000000" w:themeColor="text1"/>
                <w:lang w:val="ro-MD"/>
              </w:rPr>
              <w:t>— dolarul australian (AUD);</w:t>
            </w:r>
          </w:p>
          <w:p w14:paraId="7965572E" w14:textId="77777777" w:rsidR="006E4237" w:rsidRPr="00F02EF6" w:rsidRDefault="006E4237" w:rsidP="007E64D8">
            <w:pPr>
              <w:spacing w:after="0" w:line="240" w:lineRule="auto"/>
              <w:jc w:val="both"/>
              <w:rPr>
                <w:rFonts w:ascii="Times New Roman" w:hAnsi="Times New Roman" w:cs="Times New Roman"/>
                <w:color w:val="000000" w:themeColor="text1"/>
                <w:lang w:val="ro-MD"/>
              </w:rPr>
            </w:pPr>
            <w:r w:rsidRPr="00F02EF6">
              <w:rPr>
                <w:rFonts w:ascii="Times New Roman" w:hAnsi="Times New Roman" w:cs="Times New Roman"/>
                <w:color w:val="000000" w:themeColor="text1"/>
                <w:lang w:val="ro-MD"/>
              </w:rPr>
              <w:t>— coroana suedeză (SEK);</w:t>
            </w:r>
          </w:p>
          <w:p w14:paraId="780F8777" w14:textId="3FCE6D8E" w:rsidR="006E4237" w:rsidRPr="00F02EF6" w:rsidRDefault="006E4237" w:rsidP="007E64D8">
            <w:pPr>
              <w:spacing w:line="276" w:lineRule="auto"/>
              <w:jc w:val="both"/>
              <w:rPr>
                <w:rFonts w:ascii="Times New Roman" w:hAnsi="Times New Roman" w:cs="Times New Roman"/>
                <w:b/>
                <w:bCs/>
                <w:color w:val="000000" w:themeColor="text1"/>
                <w:lang w:val="ro-MD"/>
              </w:rPr>
            </w:pPr>
            <w:r w:rsidRPr="00F02EF6">
              <w:rPr>
                <w:rFonts w:ascii="Times New Roman" w:hAnsi="Times New Roman" w:cs="Times New Roman"/>
                <w:color w:val="000000" w:themeColor="text1"/>
                <w:lang w:val="ro-MD"/>
              </w:rPr>
              <w:t>— dolarul canadian (CAD).</w:t>
            </w:r>
          </w:p>
        </w:tc>
        <w:tc>
          <w:tcPr>
            <w:tcW w:w="1692" w:type="pct"/>
          </w:tcPr>
          <w:p w14:paraId="5369D7D8" w14:textId="28109FC2" w:rsidR="006E4237" w:rsidRPr="00E912EB" w:rsidRDefault="006E4237" w:rsidP="007E64D8">
            <w:pPr>
              <w:spacing w:line="276" w:lineRule="auto"/>
              <w:rPr>
                <w:rFonts w:ascii="Times New Roman" w:hAnsi="Times New Roman" w:cs="Times New Roman"/>
                <w:color w:val="000000" w:themeColor="text1"/>
                <w:lang w:val="ro-MD"/>
              </w:rPr>
            </w:pPr>
            <w:r w:rsidRPr="001C6706">
              <w:rPr>
                <w:lang w:val="it-IT"/>
              </w:rPr>
              <w:t xml:space="preserve"> </w:t>
            </w:r>
            <w:bookmarkStart w:id="29" w:name="_Hlk223695914"/>
            <w:r w:rsidRPr="00404045">
              <w:rPr>
                <w:rFonts w:ascii="Times New Roman" w:hAnsi="Times New Roman" w:cs="Times New Roman"/>
                <w:color w:val="000000" w:themeColor="text1"/>
                <w:lang w:val="ro-MD"/>
              </w:rPr>
              <w:t>Tabelul nr.1</w:t>
            </w:r>
            <w:r>
              <w:rPr>
                <w:rFonts w:ascii="Times New Roman" w:hAnsi="Times New Roman" w:cs="Times New Roman"/>
                <w:color w:val="000000" w:themeColor="text1"/>
                <w:lang w:val="ro-MD"/>
              </w:rPr>
              <w:t xml:space="preserve"> </w:t>
            </w:r>
            <w:r w:rsidRPr="00F02EF6">
              <w:rPr>
                <w:rFonts w:ascii="Times New Roman" w:hAnsi="Times New Roman" w:cs="Times New Roman"/>
                <w:b/>
                <w:bCs/>
                <w:color w:val="000000" w:themeColor="text1"/>
                <w:lang w:val="ro-MD"/>
              </w:rPr>
              <w:t xml:space="preserve">Lista celor mai lichide monede menționate la </w:t>
            </w:r>
            <w:r>
              <w:rPr>
                <w:rFonts w:ascii="Times New Roman" w:hAnsi="Times New Roman" w:cs="Times New Roman"/>
                <w:b/>
                <w:bCs/>
                <w:color w:val="000000" w:themeColor="text1"/>
                <w:lang w:val="ro-MD"/>
              </w:rPr>
              <w:t>secțiunea 2, subsecțiunea 1</w:t>
            </w:r>
          </w:p>
          <w:p w14:paraId="1E8A48D2" w14:textId="77777777" w:rsidR="006E4237" w:rsidRPr="00F02EF6" w:rsidRDefault="006E4237" w:rsidP="007E64D8">
            <w:pPr>
              <w:spacing w:after="0" w:line="240" w:lineRule="auto"/>
              <w:jc w:val="both"/>
              <w:rPr>
                <w:rFonts w:ascii="Times New Roman" w:hAnsi="Times New Roman" w:cs="Times New Roman"/>
                <w:color w:val="000000" w:themeColor="text1"/>
                <w:lang w:val="ro-MD"/>
              </w:rPr>
            </w:pPr>
            <w:r w:rsidRPr="00F02EF6">
              <w:rPr>
                <w:rFonts w:ascii="Times New Roman" w:hAnsi="Times New Roman" w:cs="Times New Roman"/>
                <w:color w:val="000000" w:themeColor="text1"/>
                <w:lang w:val="ro-MD"/>
              </w:rPr>
              <w:t>— euro (EUR);</w:t>
            </w:r>
          </w:p>
          <w:p w14:paraId="3A18617A" w14:textId="77777777" w:rsidR="006E4237" w:rsidRPr="00F02EF6" w:rsidRDefault="006E4237" w:rsidP="007E64D8">
            <w:pPr>
              <w:spacing w:after="0" w:line="240" w:lineRule="auto"/>
              <w:jc w:val="both"/>
              <w:rPr>
                <w:rFonts w:ascii="Times New Roman" w:hAnsi="Times New Roman" w:cs="Times New Roman"/>
                <w:color w:val="000000" w:themeColor="text1"/>
                <w:lang w:val="ro-MD"/>
              </w:rPr>
            </w:pPr>
            <w:r w:rsidRPr="00F02EF6">
              <w:rPr>
                <w:rFonts w:ascii="Times New Roman" w:hAnsi="Times New Roman" w:cs="Times New Roman"/>
                <w:color w:val="000000" w:themeColor="text1"/>
                <w:lang w:val="ro-MD"/>
              </w:rPr>
              <w:t>— dolarul american (USD);</w:t>
            </w:r>
          </w:p>
          <w:p w14:paraId="54606035" w14:textId="77777777" w:rsidR="006E4237" w:rsidRPr="00F02EF6" w:rsidRDefault="006E4237" w:rsidP="007E64D8">
            <w:pPr>
              <w:spacing w:after="0" w:line="240" w:lineRule="auto"/>
              <w:jc w:val="both"/>
              <w:rPr>
                <w:rFonts w:ascii="Times New Roman" w:hAnsi="Times New Roman" w:cs="Times New Roman"/>
                <w:color w:val="000000" w:themeColor="text1"/>
                <w:lang w:val="ro-MD"/>
              </w:rPr>
            </w:pPr>
            <w:r w:rsidRPr="00F02EF6">
              <w:rPr>
                <w:rFonts w:ascii="Times New Roman" w:hAnsi="Times New Roman" w:cs="Times New Roman"/>
                <w:color w:val="000000" w:themeColor="text1"/>
                <w:lang w:val="ro-MD"/>
              </w:rPr>
              <w:t>— lira sterlină (GBP);</w:t>
            </w:r>
          </w:p>
          <w:p w14:paraId="1057B7C2" w14:textId="77777777" w:rsidR="006E4237" w:rsidRPr="00F02EF6" w:rsidRDefault="006E4237" w:rsidP="007E64D8">
            <w:pPr>
              <w:spacing w:after="0" w:line="240" w:lineRule="auto"/>
              <w:jc w:val="both"/>
              <w:rPr>
                <w:rFonts w:ascii="Times New Roman" w:hAnsi="Times New Roman" w:cs="Times New Roman"/>
                <w:color w:val="000000" w:themeColor="text1"/>
                <w:lang w:val="ro-MD"/>
              </w:rPr>
            </w:pPr>
            <w:r w:rsidRPr="00F02EF6">
              <w:rPr>
                <w:rFonts w:ascii="Times New Roman" w:hAnsi="Times New Roman" w:cs="Times New Roman"/>
                <w:color w:val="000000" w:themeColor="text1"/>
                <w:lang w:val="ro-MD"/>
              </w:rPr>
              <w:t>— yenul japonez (JPY);</w:t>
            </w:r>
          </w:p>
          <w:p w14:paraId="1031538A" w14:textId="77777777" w:rsidR="006E4237" w:rsidRPr="00F02EF6" w:rsidRDefault="006E4237" w:rsidP="007E64D8">
            <w:pPr>
              <w:spacing w:after="0" w:line="240" w:lineRule="auto"/>
              <w:jc w:val="both"/>
              <w:rPr>
                <w:rFonts w:ascii="Times New Roman" w:hAnsi="Times New Roman" w:cs="Times New Roman"/>
                <w:color w:val="000000" w:themeColor="text1"/>
                <w:lang w:val="ro-MD"/>
              </w:rPr>
            </w:pPr>
            <w:r w:rsidRPr="00F02EF6">
              <w:rPr>
                <w:rFonts w:ascii="Times New Roman" w:hAnsi="Times New Roman" w:cs="Times New Roman"/>
                <w:color w:val="000000" w:themeColor="text1"/>
                <w:lang w:val="ro-MD"/>
              </w:rPr>
              <w:t>— dolarul australian (AUD);</w:t>
            </w:r>
          </w:p>
          <w:p w14:paraId="4F5E823D" w14:textId="77777777" w:rsidR="006E4237" w:rsidRPr="00F02EF6" w:rsidRDefault="006E4237" w:rsidP="007E64D8">
            <w:pPr>
              <w:spacing w:after="0" w:line="240" w:lineRule="auto"/>
              <w:jc w:val="both"/>
              <w:rPr>
                <w:rFonts w:ascii="Times New Roman" w:hAnsi="Times New Roman" w:cs="Times New Roman"/>
                <w:color w:val="000000" w:themeColor="text1"/>
                <w:lang w:val="ro-MD"/>
              </w:rPr>
            </w:pPr>
            <w:r w:rsidRPr="00F02EF6">
              <w:rPr>
                <w:rFonts w:ascii="Times New Roman" w:hAnsi="Times New Roman" w:cs="Times New Roman"/>
                <w:color w:val="000000" w:themeColor="text1"/>
                <w:lang w:val="ro-MD"/>
              </w:rPr>
              <w:t>— coroana suedeză (SEK);</w:t>
            </w:r>
          </w:p>
          <w:p w14:paraId="06CCEA67" w14:textId="77B74555" w:rsidR="006E4237" w:rsidRPr="00E912EB" w:rsidRDefault="006E4237" w:rsidP="007E64D8">
            <w:pPr>
              <w:spacing w:line="276" w:lineRule="auto"/>
              <w:rPr>
                <w:rFonts w:ascii="Times New Roman" w:hAnsi="Times New Roman" w:cs="Times New Roman"/>
                <w:color w:val="000000" w:themeColor="text1"/>
                <w:lang w:val="ro-MD"/>
              </w:rPr>
            </w:pPr>
            <w:r w:rsidRPr="00F02EF6">
              <w:rPr>
                <w:rFonts w:ascii="Times New Roman" w:hAnsi="Times New Roman" w:cs="Times New Roman"/>
                <w:color w:val="000000" w:themeColor="text1"/>
                <w:lang w:val="ro-MD"/>
              </w:rPr>
              <w:t>— dolarul canadian (CAD).</w:t>
            </w:r>
            <w:bookmarkEnd w:id="29"/>
          </w:p>
        </w:tc>
        <w:tc>
          <w:tcPr>
            <w:tcW w:w="450" w:type="pct"/>
          </w:tcPr>
          <w:p w14:paraId="7E4922CB" w14:textId="2DEB3117" w:rsidR="006E4237" w:rsidRPr="00C25E6D" w:rsidRDefault="006E4237" w:rsidP="007E64D8">
            <w:pPr>
              <w:spacing w:line="276" w:lineRule="auto"/>
              <w:rPr>
                <w:rFonts w:ascii="Times New Roman" w:hAnsi="Times New Roman" w:cs="Times New Roman"/>
                <w:color w:val="000000" w:themeColor="text1"/>
                <w:lang w:val="ro-MD"/>
              </w:rPr>
            </w:pPr>
            <w:r>
              <w:rPr>
                <w:rFonts w:ascii="Times New Roman" w:hAnsi="Times New Roman" w:cs="Times New Roman"/>
                <w:color w:val="000000" w:themeColor="text1"/>
                <w:lang w:val="ro-MD"/>
              </w:rPr>
              <w:t>compatibil</w:t>
            </w:r>
          </w:p>
        </w:tc>
        <w:tc>
          <w:tcPr>
            <w:tcW w:w="1261" w:type="pct"/>
          </w:tcPr>
          <w:p w14:paraId="56C8BA7C" w14:textId="77777777" w:rsidR="006E4237" w:rsidRPr="00C25E6D" w:rsidRDefault="006E4237" w:rsidP="007E64D8">
            <w:pPr>
              <w:spacing w:line="276" w:lineRule="auto"/>
              <w:rPr>
                <w:rFonts w:ascii="Times New Roman" w:hAnsi="Times New Roman" w:cs="Times New Roman"/>
                <w:color w:val="000000" w:themeColor="text1"/>
                <w:lang w:val="ro-MD"/>
              </w:rPr>
            </w:pPr>
          </w:p>
        </w:tc>
      </w:tr>
      <w:tr w:rsidR="006E4237" w:rsidRPr="001B0475" w14:paraId="4FAA8F3C" w14:textId="77777777" w:rsidTr="00D326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15"/>
        </w:trPr>
        <w:tc>
          <w:tcPr>
            <w:tcW w:w="1597" w:type="pct"/>
          </w:tcPr>
          <w:p w14:paraId="43BC8683" w14:textId="77777777" w:rsidR="006E4237" w:rsidRPr="007E64D8" w:rsidRDefault="006E4237" w:rsidP="007E64D8">
            <w:pPr>
              <w:spacing w:line="276" w:lineRule="auto"/>
              <w:rPr>
                <w:rFonts w:ascii="Times New Roman" w:hAnsi="Times New Roman" w:cs="Times New Roman"/>
                <w:color w:val="000000" w:themeColor="text1"/>
                <w:lang w:val="ro-MD"/>
              </w:rPr>
            </w:pPr>
            <w:r w:rsidRPr="007E64D8">
              <w:rPr>
                <w:rFonts w:ascii="Times New Roman" w:hAnsi="Times New Roman" w:cs="Times New Roman"/>
                <w:color w:val="000000" w:themeColor="text1"/>
                <w:lang w:val="ro-MD"/>
              </w:rPr>
              <w:lastRenderedPageBreak/>
              <w:t xml:space="preserve">ANEXA II </w:t>
            </w:r>
            <w:r w:rsidRPr="007E64D8">
              <w:rPr>
                <w:rFonts w:ascii="Times New Roman" w:hAnsi="Times New Roman" w:cs="Times New Roman"/>
                <w:b/>
                <w:bCs/>
                <w:color w:val="000000" w:themeColor="text1"/>
                <w:lang w:val="ro-MD"/>
              </w:rPr>
              <w:t>Lista perechilor de monede menționate la articolul 6</w:t>
            </w:r>
          </w:p>
          <w:p w14:paraId="328138B7" w14:textId="77777777" w:rsidR="006E4237" w:rsidRPr="007E64D8" w:rsidRDefault="006E4237" w:rsidP="007E64D8">
            <w:pPr>
              <w:spacing w:line="276" w:lineRule="auto"/>
              <w:rPr>
                <w:rFonts w:ascii="Times New Roman" w:hAnsi="Times New Roman" w:cs="Times New Roman"/>
                <w:color w:val="000000" w:themeColor="text1"/>
                <w:lang w:val="ro-MD"/>
              </w:rPr>
            </w:pPr>
            <w:r w:rsidRPr="007E64D8">
              <w:rPr>
                <w:rFonts w:ascii="Times New Roman" w:hAnsi="Times New Roman" w:cs="Times New Roman"/>
                <w:color w:val="000000" w:themeColor="text1"/>
                <w:lang w:val="ro-MD"/>
              </w:rPr>
              <w:t>În sensul prezentei anexe, se utilizează următoarele coduri referitoare la monede:</w:t>
            </w:r>
          </w:p>
          <w:p w14:paraId="22699841"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F02EF6">
              <w:rPr>
                <w:rFonts w:ascii="Times New Roman" w:hAnsi="Times New Roman" w:cs="Times New Roman"/>
                <w:color w:val="000000" w:themeColor="text1"/>
                <w:lang w:val="ro-MD"/>
              </w:rPr>
              <w:t>EUR (euro), USD (dolar american), JPY (yen japonez), GBP (liră sterlină), CHF (franc elvețian), CAD (dolar canadian), MXN</w:t>
            </w:r>
            <w:r>
              <w:rPr>
                <w:rFonts w:ascii="Times New Roman" w:hAnsi="Times New Roman" w:cs="Times New Roman"/>
                <w:color w:val="000000" w:themeColor="text1"/>
                <w:lang w:val="ro-MD"/>
              </w:rPr>
              <w:t xml:space="preserve"> </w:t>
            </w:r>
            <w:r w:rsidRPr="00F02EF6">
              <w:rPr>
                <w:rFonts w:ascii="Times New Roman" w:hAnsi="Times New Roman" w:cs="Times New Roman"/>
                <w:color w:val="000000" w:themeColor="text1"/>
                <w:lang w:val="ro-MD"/>
              </w:rPr>
              <w:t xml:space="preserve">(peso mexican), CNY (yuan </w:t>
            </w:r>
            <w:proofErr w:type="spellStart"/>
            <w:r w:rsidRPr="00F02EF6">
              <w:rPr>
                <w:rFonts w:ascii="Times New Roman" w:hAnsi="Times New Roman" w:cs="Times New Roman"/>
                <w:color w:val="000000" w:themeColor="text1"/>
                <w:lang w:val="ro-MD"/>
              </w:rPr>
              <w:t>renminbi</w:t>
            </w:r>
            <w:proofErr w:type="spellEnd"/>
            <w:r w:rsidRPr="00F02EF6">
              <w:rPr>
                <w:rFonts w:ascii="Times New Roman" w:hAnsi="Times New Roman" w:cs="Times New Roman"/>
                <w:color w:val="000000" w:themeColor="text1"/>
                <w:lang w:val="ro-MD"/>
              </w:rPr>
              <w:t>), NZD (dolar neozeelandez), RUB (rublă rusească), HKD (dolar din Hong Kong), SGD</w:t>
            </w:r>
            <w:r>
              <w:rPr>
                <w:rFonts w:ascii="Times New Roman" w:hAnsi="Times New Roman" w:cs="Times New Roman"/>
                <w:color w:val="000000" w:themeColor="text1"/>
                <w:lang w:val="ro-MD"/>
              </w:rPr>
              <w:t xml:space="preserve"> </w:t>
            </w:r>
            <w:r w:rsidRPr="00F02EF6">
              <w:rPr>
                <w:rFonts w:ascii="Times New Roman" w:hAnsi="Times New Roman" w:cs="Times New Roman"/>
                <w:color w:val="000000" w:themeColor="text1"/>
                <w:lang w:val="ro-MD"/>
              </w:rPr>
              <w:t>(dolar singaporez), TRY (liră turcească), KRW (won sud-coreean), SEK (coroană suedeză), ZAR (</w:t>
            </w:r>
            <w:proofErr w:type="spellStart"/>
            <w:r w:rsidRPr="00F02EF6">
              <w:rPr>
                <w:rFonts w:ascii="Times New Roman" w:hAnsi="Times New Roman" w:cs="Times New Roman"/>
                <w:color w:val="000000" w:themeColor="text1"/>
                <w:lang w:val="ro-MD"/>
              </w:rPr>
              <w:t>rand</w:t>
            </w:r>
            <w:proofErr w:type="spellEnd"/>
            <w:r w:rsidRPr="00F02EF6">
              <w:rPr>
                <w:rFonts w:ascii="Times New Roman" w:hAnsi="Times New Roman" w:cs="Times New Roman"/>
                <w:color w:val="000000" w:themeColor="text1"/>
                <w:lang w:val="ro-MD"/>
              </w:rPr>
              <w:t xml:space="preserve"> sud-african), INR (rupie</w:t>
            </w:r>
            <w:r>
              <w:rPr>
                <w:rFonts w:ascii="Times New Roman" w:hAnsi="Times New Roman" w:cs="Times New Roman"/>
                <w:color w:val="000000" w:themeColor="text1"/>
                <w:lang w:val="ro-MD"/>
              </w:rPr>
              <w:t xml:space="preserve"> </w:t>
            </w:r>
            <w:r w:rsidRPr="00F02EF6">
              <w:rPr>
                <w:rFonts w:ascii="Times New Roman" w:hAnsi="Times New Roman" w:cs="Times New Roman"/>
                <w:color w:val="000000" w:themeColor="text1"/>
                <w:lang w:val="ro-MD"/>
              </w:rPr>
              <w:t>indiană), NOK (coroană norvegiană), BRL (real brazilian), AUD (dolar australian), DKK (coroană daneză), BGN (leva</w:t>
            </w:r>
            <w:r>
              <w:rPr>
                <w:rFonts w:ascii="Times New Roman" w:hAnsi="Times New Roman" w:cs="Times New Roman"/>
                <w:color w:val="000000" w:themeColor="text1"/>
                <w:lang w:val="ro-MD"/>
              </w:rPr>
              <w:t xml:space="preserve"> </w:t>
            </w:r>
            <w:r w:rsidRPr="00F02EF6">
              <w:rPr>
                <w:rFonts w:ascii="Times New Roman" w:hAnsi="Times New Roman" w:cs="Times New Roman"/>
                <w:color w:val="000000" w:themeColor="text1"/>
                <w:lang w:val="ro-MD"/>
              </w:rPr>
              <w:t>bulgărească), HRK (</w:t>
            </w:r>
            <w:proofErr w:type="spellStart"/>
            <w:r w:rsidRPr="00F02EF6">
              <w:rPr>
                <w:rFonts w:ascii="Times New Roman" w:hAnsi="Times New Roman" w:cs="Times New Roman"/>
                <w:color w:val="000000" w:themeColor="text1"/>
                <w:lang w:val="ro-MD"/>
              </w:rPr>
              <w:t>kuna</w:t>
            </w:r>
            <w:proofErr w:type="spellEnd"/>
            <w:r w:rsidRPr="00F02EF6">
              <w:rPr>
                <w:rFonts w:ascii="Times New Roman" w:hAnsi="Times New Roman" w:cs="Times New Roman"/>
                <w:color w:val="000000" w:themeColor="text1"/>
                <w:lang w:val="ro-MD"/>
              </w:rPr>
              <w:t xml:space="preserve"> croată).</w:t>
            </w:r>
          </w:p>
          <w:p w14:paraId="4802ABF0"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C206F7">
              <w:rPr>
                <w:rFonts w:ascii="Times New Roman" w:hAnsi="Times New Roman" w:cs="Times New Roman"/>
                <w:color w:val="000000" w:themeColor="text1"/>
                <w:lang w:val="ro-MD"/>
              </w:rPr>
              <w:t>EUR/USD, EUR/JPY, EUR/GBP, EUR/CHF, EUR/CAD, EUR/MXN, EUR/CNY, EUR/NZD, EUR/RUB, EUR/HKD, EUR/SGD,</w:t>
            </w:r>
            <w:r>
              <w:rPr>
                <w:rFonts w:ascii="Times New Roman" w:hAnsi="Times New Roman" w:cs="Times New Roman"/>
                <w:color w:val="000000" w:themeColor="text1"/>
                <w:lang w:val="ro-MD"/>
              </w:rPr>
              <w:t xml:space="preserve"> </w:t>
            </w:r>
            <w:r w:rsidRPr="00C206F7">
              <w:rPr>
                <w:rFonts w:ascii="Times New Roman" w:hAnsi="Times New Roman" w:cs="Times New Roman"/>
                <w:color w:val="000000" w:themeColor="text1"/>
                <w:lang w:val="ro-MD"/>
              </w:rPr>
              <w:t>EUR/TRY, EUR/KRW, EUR/SEK, EUR/ZAR, EUR/INR, EUR/NOK, EUR/BRL, EUR/AUD.</w:t>
            </w:r>
          </w:p>
          <w:p w14:paraId="298AE41D"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C206F7">
              <w:rPr>
                <w:rFonts w:ascii="Times New Roman" w:hAnsi="Times New Roman" w:cs="Times New Roman"/>
                <w:color w:val="000000" w:themeColor="text1"/>
                <w:lang w:val="ro-MD"/>
              </w:rPr>
              <w:t>USD/JPY, USD/GBP, USD/AUD, USD/CAD, USD/CHF, USD/MXN, USD/CNY, USD/NZD, USD/RUB, USD/HKD, USD/SGD,</w:t>
            </w:r>
            <w:r>
              <w:rPr>
                <w:rFonts w:ascii="Times New Roman" w:hAnsi="Times New Roman" w:cs="Times New Roman"/>
                <w:color w:val="000000" w:themeColor="text1"/>
                <w:lang w:val="ro-MD"/>
              </w:rPr>
              <w:t xml:space="preserve"> </w:t>
            </w:r>
            <w:r w:rsidRPr="00C206F7">
              <w:rPr>
                <w:rFonts w:ascii="Times New Roman" w:hAnsi="Times New Roman" w:cs="Times New Roman"/>
                <w:color w:val="000000" w:themeColor="text1"/>
                <w:lang w:val="ro-MD"/>
              </w:rPr>
              <w:t xml:space="preserve">USD/TRY, </w:t>
            </w:r>
            <w:r w:rsidRPr="00C206F7">
              <w:rPr>
                <w:rFonts w:ascii="Times New Roman" w:hAnsi="Times New Roman" w:cs="Times New Roman"/>
                <w:color w:val="000000" w:themeColor="text1"/>
                <w:lang w:val="ro-MD"/>
              </w:rPr>
              <w:lastRenderedPageBreak/>
              <w:t>USD/KRW, USD/SEK, USD/ZAR, USD/INR, USD/NOK, USD/BRL, USD/DKK, USD/BGN, USD/HRK.</w:t>
            </w:r>
          </w:p>
          <w:p w14:paraId="505E02C7"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C206F7">
              <w:rPr>
                <w:rFonts w:ascii="Times New Roman" w:hAnsi="Times New Roman" w:cs="Times New Roman"/>
                <w:color w:val="000000" w:themeColor="text1"/>
                <w:lang w:val="ro-MD"/>
              </w:rPr>
              <w:t>JPY/GBP, JPY/CAD, JPY/CHF, JPY/MXN, JPY/CNY, JPY/NZD, JPY/RUB, JPY/HKD, JPY/SGD, JPY/TRY, JPY/KRW, JPY/SEK,</w:t>
            </w:r>
            <w:r>
              <w:rPr>
                <w:rFonts w:ascii="Times New Roman" w:hAnsi="Times New Roman" w:cs="Times New Roman"/>
                <w:color w:val="000000" w:themeColor="text1"/>
                <w:lang w:val="ro-MD"/>
              </w:rPr>
              <w:t xml:space="preserve"> </w:t>
            </w:r>
            <w:r w:rsidRPr="00C206F7">
              <w:rPr>
                <w:rFonts w:ascii="Times New Roman" w:hAnsi="Times New Roman" w:cs="Times New Roman"/>
                <w:color w:val="000000" w:themeColor="text1"/>
                <w:lang w:val="ro-MD"/>
              </w:rPr>
              <w:t>JPY/ZAR, JPY/INR, JPY/NOK, JPY/BRL, JPY/DKK, JPY/AUD, JPY/BGN, JPY/HRK.</w:t>
            </w:r>
          </w:p>
          <w:p w14:paraId="419D68C1"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C206F7">
              <w:rPr>
                <w:rFonts w:ascii="Times New Roman" w:hAnsi="Times New Roman" w:cs="Times New Roman"/>
                <w:color w:val="000000" w:themeColor="text1"/>
                <w:lang w:val="ro-MD"/>
              </w:rPr>
              <w:t>GBP/AUD, GBP/CAD, GBP/CHF, GBP/MXN, GBP/CNY, GBP/NZD, GBP/RUB, GBP/HKD, GBP/SGD, GBP/TRY, GBP/KRW,</w:t>
            </w:r>
            <w:r>
              <w:rPr>
                <w:rFonts w:ascii="Times New Roman" w:hAnsi="Times New Roman" w:cs="Times New Roman"/>
                <w:color w:val="000000" w:themeColor="text1"/>
                <w:lang w:val="ro-MD"/>
              </w:rPr>
              <w:t xml:space="preserve"> </w:t>
            </w:r>
            <w:r w:rsidRPr="00C206F7">
              <w:rPr>
                <w:rFonts w:ascii="Times New Roman" w:hAnsi="Times New Roman" w:cs="Times New Roman"/>
                <w:color w:val="000000" w:themeColor="text1"/>
                <w:lang w:val="ro-MD"/>
              </w:rPr>
              <w:t>GBP/SEK, GBP/ZAR, GBP/INR, GBP/NOK, GBP/BRL, GBP/DKK, GBP/BGN, GBP/HRK.</w:t>
            </w:r>
          </w:p>
          <w:p w14:paraId="4EC8937F"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C206F7">
              <w:rPr>
                <w:rFonts w:ascii="Times New Roman" w:hAnsi="Times New Roman" w:cs="Times New Roman"/>
                <w:color w:val="000000" w:themeColor="text1"/>
                <w:lang w:val="ro-MD"/>
              </w:rPr>
              <w:t>AUD/CAD, AUD/CHF, AUD/MXN, AUD/CNY, AUD/NZD, AUD/RUB, AUD/HKD, AUD/SGD, AUD/TRY, AUD/KRW,</w:t>
            </w:r>
            <w:r>
              <w:rPr>
                <w:rFonts w:ascii="Times New Roman" w:hAnsi="Times New Roman" w:cs="Times New Roman"/>
                <w:color w:val="000000" w:themeColor="text1"/>
                <w:lang w:val="ro-MD"/>
              </w:rPr>
              <w:t xml:space="preserve"> </w:t>
            </w:r>
            <w:r w:rsidRPr="00C206F7">
              <w:rPr>
                <w:rFonts w:ascii="Times New Roman" w:hAnsi="Times New Roman" w:cs="Times New Roman"/>
                <w:color w:val="000000" w:themeColor="text1"/>
                <w:lang w:val="ro-MD"/>
              </w:rPr>
              <w:t>AUD/SEK, AUD/ZAR, AUD/INR, AUD/NOK, AUD/BRL.</w:t>
            </w:r>
          </w:p>
          <w:p w14:paraId="7FCF51BD"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C206F7">
              <w:rPr>
                <w:rFonts w:ascii="Times New Roman" w:hAnsi="Times New Roman" w:cs="Times New Roman"/>
                <w:color w:val="000000" w:themeColor="text1"/>
                <w:lang w:val="ro-MD"/>
              </w:rPr>
              <w:t>CAD/CHF, CAD/MXN, CAD/CNY, CAD/NZD, CAD/RUB, CAD/HKD, CAD/SGD, CAD/TRY, CAD/KRW, CAD/SEK,</w:t>
            </w:r>
            <w:r>
              <w:rPr>
                <w:rFonts w:ascii="Times New Roman" w:hAnsi="Times New Roman" w:cs="Times New Roman"/>
                <w:color w:val="000000" w:themeColor="text1"/>
                <w:lang w:val="ro-MD"/>
              </w:rPr>
              <w:t xml:space="preserve"> </w:t>
            </w:r>
            <w:r w:rsidRPr="00C206F7">
              <w:rPr>
                <w:rFonts w:ascii="Times New Roman" w:hAnsi="Times New Roman" w:cs="Times New Roman"/>
                <w:color w:val="000000" w:themeColor="text1"/>
                <w:lang w:val="ro-MD"/>
              </w:rPr>
              <w:t>CAD/ZAR, CAD/INR, CAD/NOK, CAD/BRL.</w:t>
            </w:r>
          </w:p>
          <w:p w14:paraId="4F7FC15C" w14:textId="77777777" w:rsidR="006E4237" w:rsidRPr="00582B3B"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lastRenderedPageBreak/>
              <w:t>CHF/MXN, CHF/CNY, CHF/NZD, CHF/RUB, CHF/HKD, CHF/SGD, CHF/TRY, CHF/KRW, CHF/SEK, CHF/ZAR, CHF/INR,</w:t>
            </w:r>
          </w:p>
          <w:p w14:paraId="7329D071"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t>CHF/NOK, CHF/BRL, CHF/DKK, CHF/BGN, CHF/HRK.</w:t>
            </w:r>
          </w:p>
          <w:p w14:paraId="262E8014"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t>MXN/CNY, MXN/NZD, MXN/RUB, MXN/HKD, MXN/SGD, MXN/TRY, MXN/KRW, MXN/SEK, MXN/ZAR, MXN/INR,</w:t>
            </w:r>
            <w:r>
              <w:rPr>
                <w:rFonts w:ascii="Times New Roman" w:hAnsi="Times New Roman" w:cs="Times New Roman"/>
                <w:color w:val="000000" w:themeColor="text1"/>
                <w:lang w:val="ro-MD"/>
              </w:rPr>
              <w:t xml:space="preserve"> </w:t>
            </w:r>
            <w:r w:rsidRPr="00582B3B">
              <w:rPr>
                <w:rFonts w:ascii="Times New Roman" w:hAnsi="Times New Roman" w:cs="Times New Roman"/>
                <w:color w:val="000000" w:themeColor="text1"/>
                <w:lang w:val="ro-MD"/>
              </w:rPr>
              <w:t>MXN/NOK, MXN/BRL.</w:t>
            </w:r>
          </w:p>
          <w:p w14:paraId="60F45103"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t>CNY/NZD, CNY/RUB, CNY/HKD, CNY/SGD, CNY/TRY, CNY/KRW, CNY/SEK, CNY/ZAR, CNY/INR, CNY/NOK, CNY/BRL.</w:t>
            </w:r>
          </w:p>
          <w:p w14:paraId="17D4C073"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t>NZD/RUB, NZD/HKD, NZD/SGD, NZD/TRY, NZD/KRW, NZD/SEK, NZD/ZAR, NZD/INR, NZD/NOK, NZD/BRL.</w:t>
            </w:r>
          </w:p>
          <w:p w14:paraId="57E7C5E1"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t>RUB/HKD, RUB/SGD, RUB/TRY, RUB/KRW, RUB/SEK, RUB/ZAR, RUB/INR, RUB/NOK, RUB/BRL.</w:t>
            </w:r>
          </w:p>
          <w:p w14:paraId="719F3B3A"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t>HKD/SGD, HKD/TRY, HKD/KRW, HKD/SEK, HKD/ZAR, HKD/INR, HKD/NOK, HKD/BRL.</w:t>
            </w:r>
          </w:p>
          <w:p w14:paraId="04B00EE5"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t>SGD/TRY, SGD/KRW, SGD/SEK, SGD/ZAR, SGD/INR, SGD/NOK, SGD/BRL.</w:t>
            </w:r>
          </w:p>
          <w:p w14:paraId="71380D2D" w14:textId="77777777" w:rsidR="006E4237" w:rsidRPr="00582B3B"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lastRenderedPageBreak/>
              <w:t>TRY/KRW, TRY/SEK, TRY/ZAR, TRY/INR, TRY/NOK, TRY/BRL.</w:t>
            </w:r>
          </w:p>
          <w:p w14:paraId="0E5E7B13" w14:textId="77777777" w:rsidR="006E4237" w:rsidRPr="00582B3B"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t>KRW/SEK, KRW/ZAR, KRW/INR, KRW/NOK, KRW/BRL.</w:t>
            </w:r>
          </w:p>
          <w:p w14:paraId="59A447F7" w14:textId="77777777" w:rsidR="006E4237" w:rsidRPr="00582B3B"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t>SEK/ZAR, SEK/INR, SEK/NOK, SEK/BRL.</w:t>
            </w:r>
          </w:p>
          <w:p w14:paraId="0E69B430" w14:textId="77777777" w:rsidR="006E4237" w:rsidRPr="00582B3B"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t>ZAR/INR, ZAR/NOK, ZAR/BRL.</w:t>
            </w:r>
          </w:p>
          <w:p w14:paraId="083246AB" w14:textId="77777777" w:rsidR="006E4237" w:rsidRPr="00582B3B"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t>INR/NOK, INR/BRL.</w:t>
            </w:r>
          </w:p>
          <w:p w14:paraId="04B07F24" w14:textId="0BCDCE90" w:rsidR="006E4237" w:rsidRPr="007E64D8"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t>NOK/BRL.</w:t>
            </w:r>
          </w:p>
        </w:tc>
        <w:tc>
          <w:tcPr>
            <w:tcW w:w="1692" w:type="pct"/>
          </w:tcPr>
          <w:p w14:paraId="738334F5" w14:textId="69570519" w:rsidR="006E4237" w:rsidRPr="00E912EB" w:rsidRDefault="006E4237" w:rsidP="007E64D8">
            <w:pPr>
              <w:spacing w:line="276" w:lineRule="auto"/>
              <w:jc w:val="both"/>
              <w:rPr>
                <w:rFonts w:ascii="Times New Roman" w:hAnsi="Times New Roman" w:cs="Times New Roman"/>
                <w:color w:val="000000" w:themeColor="text1"/>
                <w:lang w:val="ro-MD"/>
              </w:rPr>
            </w:pPr>
            <w:bookmarkStart w:id="30" w:name="_Hlk223695949"/>
            <w:r w:rsidRPr="00404045">
              <w:rPr>
                <w:rFonts w:ascii="Times New Roman" w:hAnsi="Times New Roman" w:cs="Times New Roman"/>
                <w:color w:val="000000" w:themeColor="text1"/>
                <w:lang w:val="ro-MD"/>
              </w:rPr>
              <w:lastRenderedPageBreak/>
              <w:t>Tabelul nr.</w:t>
            </w:r>
            <w:r>
              <w:rPr>
                <w:rFonts w:ascii="Times New Roman" w:hAnsi="Times New Roman" w:cs="Times New Roman"/>
                <w:color w:val="000000" w:themeColor="text1"/>
                <w:lang w:val="ro-MD"/>
              </w:rPr>
              <w:t>2</w:t>
            </w:r>
            <w:r w:rsidRPr="007E64D8">
              <w:rPr>
                <w:rFonts w:ascii="Times New Roman" w:hAnsi="Times New Roman" w:cs="Times New Roman"/>
                <w:b/>
                <w:bCs/>
                <w:color w:val="000000" w:themeColor="text1"/>
                <w:lang w:val="ro-MD"/>
              </w:rPr>
              <w:t xml:space="preserve">Lista perechilor de monede menționate la </w:t>
            </w:r>
            <w:r w:rsidRPr="0083341C">
              <w:rPr>
                <w:rFonts w:ascii="Times New Roman" w:hAnsi="Times New Roman" w:cs="Times New Roman"/>
                <w:b/>
                <w:bCs/>
                <w:color w:val="000000" w:themeColor="text1"/>
                <w:lang w:val="ro-MD"/>
              </w:rPr>
              <w:t xml:space="preserve">secțiunea 2, subsecțiunea </w:t>
            </w:r>
            <w:r>
              <w:rPr>
                <w:rFonts w:ascii="Times New Roman" w:hAnsi="Times New Roman" w:cs="Times New Roman"/>
                <w:b/>
                <w:bCs/>
                <w:color w:val="000000" w:themeColor="text1"/>
                <w:lang w:val="ro-MD"/>
              </w:rPr>
              <w:t>2</w:t>
            </w:r>
          </w:p>
          <w:p w14:paraId="0B938674" w14:textId="18B0F30B" w:rsidR="006E4237" w:rsidRPr="00E912EB" w:rsidRDefault="006E4237" w:rsidP="007E64D8">
            <w:pPr>
              <w:spacing w:line="276" w:lineRule="auto"/>
              <w:jc w:val="both"/>
              <w:rPr>
                <w:rFonts w:ascii="Times New Roman" w:hAnsi="Times New Roman" w:cs="Times New Roman"/>
                <w:color w:val="000000" w:themeColor="text1"/>
                <w:lang w:val="ro-MD"/>
              </w:rPr>
            </w:pPr>
            <w:r w:rsidRPr="007E64D8">
              <w:rPr>
                <w:rFonts w:ascii="Times New Roman" w:hAnsi="Times New Roman" w:cs="Times New Roman"/>
                <w:color w:val="000000" w:themeColor="text1"/>
                <w:lang w:val="ro-MD"/>
              </w:rPr>
              <w:t>În sensul prezent</w:t>
            </w:r>
            <w:r>
              <w:rPr>
                <w:rFonts w:ascii="Times New Roman" w:hAnsi="Times New Roman" w:cs="Times New Roman"/>
                <w:color w:val="000000" w:themeColor="text1"/>
                <w:lang w:val="ro-MD"/>
              </w:rPr>
              <w:t>ului tabel</w:t>
            </w:r>
            <w:r w:rsidRPr="007E64D8">
              <w:rPr>
                <w:rFonts w:ascii="Times New Roman" w:hAnsi="Times New Roman" w:cs="Times New Roman"/>
                <w:color w:val="000000" w:themeColor="text1"/>
                <w:lang w:val="ro-MD"/>
              </w:rPr>
              <w:t>, se utilizează următoarele coduri referitoare la monede:</w:t>
            </w:r>
          </w:p>
          <w:p w14:paraId="3599D5E6"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F02EF6">
              <w:rPr>
                <w:rFonts w:ascii="Times New Roman" w:hAnsi="Times New Roman" w:cs="Times New Roman"/>
                <w:color w:val="000000" w:themeColor="text1"/>
                <w:lang w:val="ro-MD"/>
              </w:rPr>
              <w:t>EUR (euro), USD (dolar american), JPY (yen japonez), GBP (liră sterlină), CHF (franc elvețian), CAD (dolar canadian), MXN</w:t>
            </w:r>
            <w:r>
              <w:rPr>
                <w:rFonts w:ascii="Times New Roman" w:hAnsi="Times New Roman" w:cs="Times New Roman"/>
                <w:color w:val="000000" w:themeColor="text1"/>
                <w:lang w:val="ro-MD"/>
              </w:rPr>
              <w:t xml:space="preserve"> </w:t>
            </w:r>
            <w:r w:rsidRPr="00F02EF6">
              <w:rPr>
                <w:rFonts w:ascii="Times New Roman" w:hAnsi="Times New Roman" w:cs="Times New Roman"/>
                <w:color w:val="000000" w:themeColor="text1"/>
                <w:lang w:val="ro-MD"/>
              </w:rPr>
              <w:t xml:space="preserve">(peso mexican), CNY (yuan </w:t>
            </w:r>
            <w:proofErr w:type="spellStart"/>
            <w:r w:rsidRPr="00F02EF6">
              <w:rPr>
                <w:rFonts w:ascii="Times New Roman" w:hAnsi="Times New Roman" w:cs="Times New Roman"/>
                <w:color w:val="000000" w:themeColor="text1"/>
                <w:lang w:val="ro-MD"/>
              </w:rPr>
              <w:t>renminbi</w:t>
            </w:r>
            <w:proofErr w:type="spellEnd"/>
            <w:r w:rsidRPr="00F02EF6">
              <w:rPr>
                <w:rFonts w:ascii="Times New Roman" w:hAnsi="Times New Roman" w:cs="Times New Roman"/>
                <w:color w:val="000000" w:themeColor="text1"/>
                <w:lang w:val="ro-MD"/>
              </w:rPr>
              <w:t>), NZD (dolar neozeelandez), RUB (rublă rusească), HKD (dolar din Hong Kong), SGD</w:t>
            </w:r>
            <w:r>
              <w:rPr>
                <w:rFonts w:ascii="Times New Roman" w:hAnsi="Times New Roman" w:cs="Times New Roman"/>
                <w:color w:val="000000" w:themeColor="text1"/>
                <w:lang w:val="ro-MD"/>
              </w:rPr>
              <w:t xml:space="preserve"> </w:t>
            </w:r>
            <w:r w:rsidRPr="00F02EF6">
              <w:rPr>
                <w:rFonts w:ascii="Times New Roman" w:hAnsi="Times New Roman" w:cs="Times New Roman"/>
                <w:color w:val="000000" w:themeColor="text1"/>
                <w:lang w:val="ro-MD"/>
              </w:rPr>
              <w:t>(dolar singaporez), TRY (liră turcească), KRW (won sud-coreean), SEK (coroană suedeză), ZAR (</w:t>
            </w:r>
            <w:proofErr w:type="spellStart"/>
            <w:r w:rsidRPr="00F02EF6">
              <w:rPr>
                <w:rFonts w:ascii="Times New Roman" w:hAnsi="Times New Roman" w:cs="Times New Roman"/>
                <w:color w:val="000000" w:themeColor="text1"/>
                <w:lang w:val="ro-MD"/>
              </w:rPr>
              <w:t>rand</w:t>
            </w:r>
            <w:proofErr w:type="spellEnd"/>
            <w:r w:rsidRPr="00F02EF6">
              <w:rPr>
                <w:rFonts w:ascii="Times New Roman" w:hAnsi="Times New Roman" w:cs="Times New Roman"/>
                <w:color w:val="000000" w:themeColor="text1"/>
                <w:lang w:val="ro-MD"/>
              </w:rPr>
              <w:t xml:space="preserve"> sud-african), INR (rupie</w:t>
            </w:r>
            <w:r>
              <w:rPr>
                <w:rFonts w:ascii="Times New Roman" w:hAnsi="Times New Roman" w:cs="Times New Roman"/>
                <w:color w:val="000000" w:themeColor="text1"/>
                <w:lang w:val="ro-MD"/>
              </w:rPr>
              <w:t xml:space="preserve"> </w:t>
            </w:r>
            <w:r w:rsidRPr="00F02EF6">
              <w:rPr>
                <w:rFonts w:ascii="Times New Roman" w:hAnsi="Times New Roman" w:cs="Times New Roman"/>
                <w:color w:val="000000" w:themeColor="text1"/>
                <w:lang w:val="ro-MD"/>
              </w:rPr>
              <w:t>indiană), NOK (coroană norvegiană), BRL (real brazilian), AUD (dolar australian), DKK (coroană daneză), BGN (leva</w:t>
            </w:r>
            <w:r>
              <w:rPr>
                <w:rFonts w:ascii="Times New Roman" w:hAnsi="Times New Roman" w:cs="Times New Roman"/>
                <w:color w:val="000000" w:themeColor="text1"/>
                <w:lang w:val="ro-MD"/>
              </w:rPr>
              <w:t xml:space="preserve"> </w:t>
            </w:r>
            <w:r w:rsidRPr="00F02EF6">
              <w:rPr>
                <w:rFonts w:ascii="Times New Roman" w:hAnsi="Times New Roman" w:cs="Times New Roman"/>
                <w:color w:val="000000" w:themeColor="text1"/>
                <w:lang w:val="ro-MD"/>
              </w:rPr>
              <w:t>bulgărească), HRK (</w:t>
            </w:r>
            <w:proofErr w:type="spellStart"/>
            <w:r w:rsidRPr="00F02EF6">
              <w:rPr>
                <w:rFonts w:ascii="Times New Roman" w:hAnsi="Times New Roman" w:cs="Times New Roman"/>
                <w:color w:val="000000" w:themeColor="text1"/>
                <w:lang w:val="ro-MD"/>
              </w:rPr>
              <w:t>kuna</w:t>
            </w:r>
            <w:proofErr w:type="spellEnd"/>
            <w:r w:rsidRPr="00F02EF6">
              <w:rPr>
                <w:rFonts w:ascii="Times New Roman" w:hAnsi="Times New Roman" w:cs="Times New Roman"/>
                <w:color w:val="000000" w:themeColor="text1"/>
                <w:lang w:val="ro-MD"/>
              </w:rPr>
              <w:t xml:space="preserve"> croată).</w:t>
            </w:r>
          </w:p>
          <w:p w14:paraId="69AFB683"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C206F7">
              <w:rPr>
                <w:rFonts w:ascii="Times New Roman" w:hAnsi="Times New Roman" w:cs="Times New Roman"/>
                <w:color w:val="000000" w:themeColor="text1"/>
                <w:lang w:val="ro-MD"/>
              </w:rPr>
              <w:t>EUR/USD, EUR/JPY, EUR/GBP, EUR/CHF, EUR/CAD, EUR/MXN, EUR/CNY, EUR/NZD, EUR/RUB, EUR/HKD, EUR/SGD,</w:t>
            </w:r>
            <w:r>
              <w:rPr>
                <w:rFonts w:ascii="Times New Roman" w:hAnsi="Times New Roman" w:cs="Times New Roman"/>
                <w:color w:val="000000" w:themeColor="text1"/>
                <w:lang w:val="ro-MD"/>
              </w:rPr>
              <w:t xml:space="preserve"> </w:t>
            </w:r>
            <w:r w:rsidRPr="00C206F7">
              <w:rPr>
                <w:rFonts w:ascii="Times New Roman" w:hAnsi="Times New Roman" w:cs="Times New Roman"/>
                <w:color w:val="000000" w:themeColor="text1"/>
                <w:lang w:val="ro-MD"/>
              </w:rPr>
              <w:t>EUR/TRY, EUR/KRW, EUR/SEK, EUR/ZAR, EUR/INR, EUR/NOK, EUR/BRL, EUR/AUD.</w:t>
            </w:r>
          </w:p>
          <w:p w14:paraId="14F9B741"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C206F7">
              <w:rPr>
                <w:rFonts w:ascii="Times New Roman" w:hAnsi="Times New Roman" w:cs="Times New Roman"/>
                <w:color w:val="000000" w:themeColor="text1"/>
                <w:lang w:val="ro-MD"/>
              </w:rPr>
              <w:t>USD/JPY, USD/GBP, USD/AUD, USD/CAD, USD/CHF, USD/MXN, USD/CNY, USD/NZD, USD/RUB, USD/HKD, USD/SGD,</w:t>
            </w:r>
            <w:r>
              <w:rPr>
                <w:rFonts w:ascii="Times New Roman" w:hAnsi="Times New Roman" w:cs="Times New Roman"/>
                <w:color w:val="000000" w:themeColor="text1"/>
                <w:lang w:val="ro-MD"/>
              </w:rPr>
              <w:t xml:space="preserve"> </w:t>
            </w:r>
            <w:r w:rsidRPr="00C206F7">
              <w:rPr>
                <w:rFonts w:ascii="Times New Roman" w:hAnsi="Times New Roman" w:cs="Times New Roman"/>
                <w:color w:val="000000" w:themeColor="text1"/>
                <w:lang w:val="ro-MD"/>
              </w:rPr>
              <w:t xml:space="preserve">USD/TRY, USD/KRW, </w:t>
            </w:r>
            <w:r w:rsidRPr="00C206F7">
              <w:rPr>
                <w:rFonts w:ascii="Times New Roman" w:hAnsi="Times New Roman" w:cs="Times New Roman"/>
                <w:color w:val="000000" w:themeColor="text1"/>
                <w:lang w:val="ro-MD"/>
              </w:rPr>
              <w:lastRenderedPageBreak/>
              <w:t>USD/SEK, USD/ZAR, USD/INR, USD/NOK, USD/BRL, USD/DKK, USD/BGN, USD/HRK.</w:t>
            </w:r>
          </w:p>
          <w:p w14:paraId="4AF7EF29"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C206F7">
              <w:rPr>
                <w:rFonts w:ascii="Times New Roman" w:hAnsi="Times New Roman" w:cs="Times New Roman"/>
                <w:color w:val="000000" w:themeColor="text1"/>
                <w:lang w:val="ro-MD"/>
              </w:rPr>
              <w:t>JPY/GBP, JPY/CAD, JPY/CHF, JPY/MXN, JPY/CNY, JPY/NZD, JPY/RUB, JPY/HKD, JPY/SGD, JPY/TRY, JPY/KRW, JPY/SEK,</w:t>
            </w:r>
            <w:r>
              <w:rPr>
                <w:rFonts w:ascii="Times New Roman" w:hAnsi="Times New Roman" w:cs="Times New Roman"/>
                <w:color w:val="000000" w:themeColor="text1"/>
                <w:lang w:val="ro-MD"/>
              </w:rPr>
              <w:t xml:space="preserve"> </w:t>
            </w:r>
            <w:r w:rsidRPr="00C206F7">
              <w:rPr>
                <w:rFonts w:ascii="Times New Roman" w:hAnsi="Times New Roman" w:cs="Times New Roman"/>
                <w:color w:val="000000" w:themeColor="text1"/>
                <w:lang w:val="ro-MD"/>
              </w:rPr>
              <w:t>JPY/ZAR, JPY/INR, JPY/NOK, JPY/BRL, JPY/DKK, JPY/AUD, JPY/BGN, JPY/HRK.</w:t>
            </w:r>
          </w:p>
          <w:p w14:paraId="249EDABA"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C206F7">
              <w:rPr>
                <w:rFonts w:ascii="Times New Roman" w:hAnsi="Times New Roman" w:cs="Times New Roman"/>
                <w:color w:val="000000" w:themeColor="text1"/>
                <w:lang w:val="ro-MD"/>
              </w:rPr>
              <w:t>GBP/AUD, GBP/CAD, GBP/CHF, GBP/MXN, GBP/CNY, GBP/NZD, GBP/RUB, GBP/HKD, GBP/SGD, GBP/TRY, GBP/KRW,</w:t>
            </w:r>
            <w:r>
              <w:rPr>
                <w:rFonts w:ascii="Times New Roman" w:hAnsi="Times New Roman" w:cs="Times New Roman"/>
                <w:color w:val="000000" w:themeColor="text1"/>
                <w:lang w:val="ro-MD"/>
              </w:rPr>
              <w:t xml:space="preserve"> </w:t>
            </w:r>
            <w:r w:rsidRPr="00C206F7">
              <w:rPr>
                <w:rFonts w:ascii="Times New Roman" w:hAnsi="Times New Roman" w:cs="Times New Roman"/>
                <w:color w:val="000000" w:themeColor="text1"/>
                <w:lang w:val="ro-MD"/>
              </w:rPr>
              <w:t>GBP/SEK, GBP/ZAR, GBP/INR, GBP/NOK, GBP/BRL, GBP/DKK, GBP/BGN, GBP/HRK.</w:t>
            </w:r>
          </w:p>
          <w:p w14:paraId="7D39DB72"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C206F7">
              <w:rPr>
                <w:rFonts w:ascii="Times New Roman" w:hAnsi="Times New Roman" w:cs="Times New Roman"/>
                <w:color w:val="000000" w:themeColor="text1"/>
                <w:lang w:val="ro-MD"/>
              </w:rPr>
              <w:t>AUD/CAD, AUD/CHF, AUD/MXN, AUD/CNY, AUD/NZD, AUD/RUB, AUD/HKD, AUD/SGD, AUD/TRY, AUD/KRW,</w:t>
            </w:r>
            <w:r>
              <w:rPr>
                <w:rFonts w:ascii="Times New Roman" w:hAnsi="Times New Roman" w:cs="Times New Roman"/>
                <w:color w:val="000000" w:themeColor="text1"/>
                <w:lang w:val="ro-MD"/>
              </w:rPr>
              <w:t xml:space="preserve"> </w:t>
            </w:r>
            <w:r w:rsidRPr="00C206F7">
              <w:rPr>
                <w:rFonts w:ascii="Times New Roman" w:hAnsi="Times New Roman" w:cs="Times New Roman"/>
                <w:color w:val="000000" w:themeColor="text1"/>
                <w:lang w:val="ro-MD"/>
              </w:rPr>
              <w:t>AUD/SEK, AUD/ZAR, AUD/INR, AUD/NOK, AUD/BRL.</w:t>
            </w:r>
          </w:p>
          <w:p w14:paraId="2FA4A85D"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C206F7">
              <w:rPr>
                <w:rFonts w:ascii="Times New Roman" w:hAnsi="Times New Roman" w:cs="Times New Roman"/>
                <w:color w:val="000000" w:themeColor="text1"/>
                <w:lang w:val="ro-MD"/>
              </w:rPr>
              <w:t>CAD/CHF, CAD/MXN, CAD/CNY, CAD/NZD, CAD/RUB, CAD/HKD, CAD/SGD, CAD/TRY, CAD/KRW, CAD/SEK,</w:t>
            </w:r>
            <w:r>
              <w:rPr>
                <w:rFonts w:ascii="Times New Roman" w:hAnsi="Times New Roman" w:cs="Times New Roman"/>
                <w:color w:val="000000" w:themeColor="text1"/>
                <w:lang w:val="ro-MD"/>
              </w:rPr>
              <w:t xml:space="preserve"> </w:t>
            </w:r>
            <w:r w:rsidRPr="00C206F7">
              <w:rPr>
                <w:rFonts w:ascii="Times New Roman" w:hAnsi="Times New Roman" w:cs="Times New Roman"/>
                <w:color w:val="000000" w:themeColor="text1"/>
                <w:lang w:val="ro-MD"/>
              </w:rPr>
              <w:t>CAD/ZAR, CAD/INR, CAD/NOK, CAD/BRL.</w:t>
            </w:r>
          </w:p>
          <w:p w14:paraId="5ADBCCAD" w14:textId="77777777" w:rsidR="006E4237" w:rsidRPr="00582B3B"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t>CHF/MXN, CHF/CNY, CHF/NZD, CHF/RUB, CHF/HKD, CHF/SGD, CHF/TRY, CHF/KRW, CHF/SEK, CHF/ZAR, CHF/INR,</w:t>
            </w:r>
          </w:p>
          <w:p w14:paraId="3D480155"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lastRenderedPageBreak/>
              <w:t>CHF/NOK, CHF/BRL, CHF/DKK, CHF/BGN, CHF/HRK.</w:t>
            </w:r>
          </w:p>
          <w:p w14:paraId="0E67F6B8"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t>MXN/CNY, MXN/NZD, MXN/RUB, MXN/HKD, MXN/SGD, MXN/TRY, MXN/KRW, MXN/SEK, MXN/ZAR, MXN/INR,</w:t>
            </w:r>
            <w:r>
              <w:rPr>
                <w:rFonts w:ascii="Times New Roman" w:hAnsi="Times New Roman" w:cs="Times New Roman"/>
                <w:color w:val="000000" w:themeColor="text1"/>
                <w:lang w:val="ro-MD"/>
              </w:rPr>
              <w:t xml:space="preserve"> </w:t>
            </w:r>
            <w:r w:rsidRPr="00582B3B">
              <w:rPr>
                <w:rFonts w:ascii="Times New Roman" w:hAnsi="Times New Roman" w:cs="Times New Roman"/>
                <w:color w:val="000000" w:themeColor="text1"/>
                <w:lang w:val="ro-MD"/>
              </w:rPr>
              <w:t>MXN/NOK, MXN/BRL.</w:t>
            </w:r>
          </w:p>
          <w:p w14:paraId="4570A658"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t>CNY/NZD, CNY/RUB, CNY/HKD, CNY/SGD, CNY/TRY, CNY/KRW, CNY/SEK, CNY/ZAR, CNY/INR, CNY/NOK, CNY/BRL.</w:t>
            </w:r>
          </w:p>
          <w:p w14:paraId="0DAA4BF9"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t>NZD/RUB, NZD/HKD, NZD/SGD, NZD/TRY, NZD/KRW, NZD/SEK, NZD/ZAR, NZD/INR, NZD/NOK, NZD/BRL.</w:t>
            </w:r>
          </w:p>
          <w:p w14:paraId="5931464E"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t>RUB/HKD, RUB/SGD, RUB/TRY, RUB/KRW, RUB/SEK, RUB/ZAR, RUB/INR, RUB/NOK, RUB/BRL.</w:t>
            </w:r>
          </w:p>
          <w:p w14:paraId="5262F6AD"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t>HKD/SGD, HKD/TRY, HKD/KRW, HKD/SEK, HKD/ZAR, HKD/INR, HKD/NOK, HKD/BRL.</w:t>
            </w:r>
          </w:p>
          <w:p w14:paraId="399E2A9B"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t>SGD/TRY, SGD/KRW, SGD/SEK, SGD/ZAR, SGD/INR, SGD/NOK, SGD/BRL.</w:t>
            </w:r>
          </w:p>
          <w:p w14:paraId="03D55B66"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t>TRY/KRW, TRY/SEK, TRY/ZAR, TRY/INR, TRY/NOK, TRY/BRL.</w:t>
            </w:r>
          </w:p>
          <w:p w14:paraId="2B1FF86D"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lastRenderedPageBreak/>
              <w:t>KRW/SEK, KRW/ZAR, KRW/INR, KRW/NOK, KRW/BRL.</w:t>
            </w:r>
          </w:p>
          <w:p w14:paraId="048A330F"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t>SEK/ZAR, SEK/INR, SEK/NOK, SEK/BRL.</w:t>
            </w:r>
          </w:p>
          <w:p w14:paraId="44D58889"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t>ZAR/INR, ZAR/NOK, ZAR/BRL.</w:t>
            </w:r>
          </w:p>
          <w:p w14:paraId="4EE3D18D" w14:textId="77777777" w:rsidR="006E4237" w:rsidRPr="00E912EB"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t>INR/NOK, INR/BRL.</w:t>
            </w:r>
          </w:p>
          <w:p w14:paraId="020A4287" w14:textId="14EAE9A3" w:rsidR="006E4237" w:rsidRPr="00E912EB" w:rsidRDefault="006E4237" w:rsidP="007E64D8">
            <w:pPr>
              <w:spacing w:line="276" w:lineRule="auto"/>
              <w:jc w:val="both"/>
              <w:rPr>
                <w:rFonts w:ascii="Times New Roman" w:hAnsi="Times New Roman" w:cs="Times New Roman"/>
                <w:color w:val="000000" w:themeColor="text1"/>
                <w:lang w:val="ro-MD"/>
              </w:rPr>
            </w:pPr>
            <w:r w:rsidRPr="00582B3B">
              <w:rPr>
                <w:rFonts w:ascii="Times New Roman" w:hAnsi="Times New Roman" w:cs="Times New Roman"/>
                <w:color w:val="000000" w:themeColor="text1"/>
                <w:lang w:val="ro-MD"/>
              </w:rPr>
              <w:t>NOK/BRL.</w:t>
            </w:r>
            <w:bookmarkEnd w:id="30"/>
          </w:p>
        </w:tc>
        <w:tc>
          <w:tcPr>
            <w:tcW w:w="450" w:type="pct"/>
          </w:tcPr>
          <w:p w14:paraId="5EA6DC3B" w14:textId="78D2E7D0" w:rsidR="006E4237" w:rsidRPr="00C25E6D" w:rsidRDefault="006E4237" w:rsidP="007E64D8">
            <w:pPr>
              <w:spacing w:line="276" w:lineRule="auto"/>
              <w:rPr>
                <w:rFonts w:ascii="Times New Roman" w:hAnsi="Times New Roman" w:cs="Times New Roman"/>
                <w:color w:val="000000" w:themeColor="text1"/>
                <w:lang w:val="ro-MD"/>
              </w:rPr>
            </w:pPr>
            <w:r>
              <w:rPr>
                <w:rFonts w:ascii="Times New Roman" w:hAnsi="Times New Roman" w:cs="Times New Roman"/>
                <w:color w:val="000000" w:themeColor="text1"/>
                <w:lang w:val="ro-MD"/>
              </w:rPr>
              <w:lastRenderedPageBreak/>
              <w:t>compatibil</w:t>
            </w:r>
          </w:p>
        </w:tc>
        <w:tc>
          <w:tcPr>
            <w:tcW w:w="1261" w:type="pct"/>
          </w:tcPr>
          <w:p w14:paraId="425B9D33" w14:textId="77777777" w:rsidR="006E4237" w:rsidRPr="00C25E6D" w:rsidRDefault="006E4237" w:rsidP="007E64D8">
            <w:pPr>
              <w:spacing w:line="276" w:lineRule="auto"/>
              <w:rPr>
                <w:rFonts w:ascii="Times New Roman" w:hAnsi="Times New Roman" w:cs="Times New Roman"/>
                <w:color w:val="000000" w:themeColor="text1"/>
                <w:lang w:val="ro-MD"/>
              </w:rPr>
            </w:pPr>
          </w:p>
        </w:tc>
      </w:tr>
    </w:tbl>
    <w:p w14:paraId="67D8C027" w14:textId="77777777" w:rsidR="00B65ABB" w:rsidRPr="00C25E6D" w:rsidRDefault="00B65ABB" w:rsidP="00C206F7">
      <w:pPr>
        <w:jc w:val="both"/>
        <w:rPr>
          <w:lang w:val="ro-MD"/>
        </w:rPr>
      </w:pPr>
    </w:p>
    <w:sectPr w:rsidR="00B65ABB" w:rsidRPr="00C25E6D" w:rsidSect="00FF56C2">
      <w:headerReference w:type="even" r:id="rId6"/>
      <w:headerReference w:type="default" r:id="rId7"/>
      <w:footerReference w:type="even" r:id="rId8"/>
      <w:footerReference w:type="default" r:id="rId9"/>
      <w:headerReference w:type="first" r:id="rId10"/>
      <w:footerReference w:type="first" r:id="rId1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4912A" w14:textId="77777777" w:rsidR="00FF56C2" w:rsidRDefault="00FF56C2" w:rsidP="00C25E6D">
      <w:pPr>
        <w:spacing w:after="0" w:line="240" w:lineRule="auto"/>
      </w:pPr>
      <w:r>
        <w:separator/>
      </w:r>
    </w:p>
  </w:endnote>
  <w:endnote w:type="continuationSeparator" w:id="0">
    <w:p w14:paraId="6928E66E" w14:textId="77777777" w:rsidR="00FF56C2" w:rsidRDefault="00FF56C2" w:rsidP="00C25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D7CF" w14:textId="5F75A7B0" w:rsidR="00C25E6D" w:rsidRDefault="00C25E6D">
    <w:pPr>
      <w:pStyle w:val="Footer"/>
    </w:pPr>
    <w:r>
      <w:rPr>
        <w:noProof/>
      </w:rPr>
      <mc:AlternateContent>
        <mc:Choice Requires="wps">
          <w:drawing>
            <wp:anchor distT="0" distB="0" distL="0" distR="0" simplePos="0" relativeHeight="251662336" behindDoc="0" locked="0" layoutInCell="1" allowOverlap="1" wp14:anchorId="3FAEF6AF" wp14:editId="29B4DE3B">
              <wp:simplePos x="635" y="635"/>
              <wp:positionH relativeFrom="page">
                <wp:align>center</wp:align>
              </wp:positionH>
              <wp:positionV relativeFrom="page">
                <wp:align>bottom</wp:align>
              </wp:positionV>
              <wp:extent cx="443865" cy="443865"/>
              <wp:effectExtent l="0" t="0" r="317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970BF3" w14:textId="50B2376D" w:rsidR="00C25E6D" w:rsidRPr="00C25E6D" w:rsidRDefault="00C25E6D" w:rsidP="00C25E6D">
                          <w:pPr>
                            <w:spacing w:after="0"/>
                            <w:rPr>
                              <w:rFonts w:ascii="Calibri" w:eastAsia="Calibri" w:hAnsi="Calibri" w:cs="Calibri"/>
                              <w:noProof/>
                              <w:color w:val="000000"/>
                              <w:sz w:val="16"/>
                              <w:szCs w:val="16"/>
                            </w:rPr>
                          </w:pPr>
                          <w:r w:rsidRPr="00C25E6D">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AEF6AF" id="_x0000_t202" coordsize="21600,21600" o:spt="202" path="m,l,21600r21600,l21600,xe">
              <v:stroke joinstyle="miter"/>
              <v:path gradientshapeok="t" o:connecttype="rect"/>
            </v:shapetype>
            <v:shape id="Text Box 5" o:spid="_x0000_s1028" type="#_x0000_t202" alt="Atenţie! Se interzice deţinerea, sustragerea, alterarea, multiplicarea, distrugerea sau folosirea  acestui document fără a dispune de drept de acces autoriza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3W4cCwIAABwEAAAOAAAAZHJzL2Uyb0RvYy54bWysU01v2zAMvQ/YfxB0X+xkbdEacYqsRYYB QVsgHXqWZSk2IImCpMTOfv0o2U62bqdhF/mZpPjx+LS877UiR+F8C6ak81lOiTAc6tbsS/r9dfPp lhIfmKmZAiNKehKe3q8+flh2thALaEDVwhFMYnzR2ZI2IdgiyzxvhGZ+BlYYdEpwmgX8dfusdqzD 7Fplizy/yTpwtXXAhfdofRycdJXySyl4eJbSi0BUSbG3kE6Xziqe2WrJir1jtmn52Ab7hy40aw0W Pad6ZIGRg2v/SKVb7sCDDDMOOgMpWy7SDDjNPH83za5hVqRZkBxvzzT5/5eWPx139sWR0H+BHhcY CemsLzwa4zy9dDp+sVOCfqTwdKZN9IFwNF5dfb69uaaEo2vEmCW7XLbOh68CNImgpA63kshix60P Q+gUEmsZ2LRKpc0o85sBc0ZLdukwotBXPWnrki6m7iuoTziUg2Hf3vJNi6W3zIcX5nDBOAeKNjzj IRV0JYURUdKA+/E3e4xH3tFLSYeCKalBRVOivhncR9TWBNwEqgTmd/l1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jdbhwLAgAAHAQAAA4A AAAAAAAAAAAAAAAALgIAAGRycy9lMm9Eb2MueG1sUEsBAi0AFAAGAAgAAAAhADft0fjZAAAAAwEA AA8AAAAAAAAAAAAAAAAAZQQAAGRycy9kb3ducmV2LnhtbFBLBQYAAAAABAAEAPMAAABrBQAAAAA= " filled="f" stroked="f">
              <v:textbox style="mso-fit-shape-to-text:t" inset="0,0,0,15pt">
                <w:txbxContent>
                  <w:p w14:paraId="2F970BF3" w14:textId="50B2376D" w:rsidR="00C25E6D" w:rsidRPr="00C25E6D" w:rsidRDefault="00C25E6D" w:rsidP="00C25E6D">
                    <w:pPr>
                      <w:spacing w:after="0"/>
                      <w:rPr>
                        <w:rFonts w:ascii="Calibri" w:eastAsia="Calibri" w:hAnsi="Calibri" w:cs="Calibri"/>
                        <w:noProof/>
                        <w:color w:val="000000"/>
                        <w:sz w:val="16"/>
                        <w:szCs w:val="16"/>
                      </w:rPr>
                    </w:pPr>
                    <w:r w:rsidRPr="00C25E6D">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924225"/>
      <w:docPartObj>
        <w:docPartGallery w:val="Page Numbers (Bottom of Page)"/>
        <w:docPartUnique/>
      </w:docPartObj>
    </w:sdtPr>
    <w:sdtEndPr>
      <w:rPr>
        <w:noProof/>
      </w:rPr>
    </w:sdtEndPr>
    <w:sdtContent>
      <w:p w14:paraId="63AE0A8E" w14:textId="430B893F" w:rsidR="00CA5428" w:rsidRDefault="00CA54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FF1CFB" w14:textId="19300EA2" w:rsidR="00C25E6D" w:rsidRDefault="00C25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F190" w14:textId="0730335E" w:rsidR="00C25E6D" w:rsidRDefault="00C25E6D">
    <w:pPr>
      <w:pStyle w:val="Footer"/>
    </w:pPr>
    <w:r>
      <w:rPr>
        <w:noProof/>
      </w:rPr>
      <mc:AlternateContent>
        <mc:Choice Requires="wps">
          <w:drawing>
            <wp:anchor distT="0" distB="0" distL="0" distR="0" simplePos="0" relativeHeight="251661312" behindDoc="0" locked="0" layoutInCell="1" allowOverlap="1" wp14:anchorId="5F2F404A" wp14:editId="0435244A">
              <wp:simplePos x="635" y="635"/>
              <wp:positionH relativeFrom="page">
                <wp:align>center</wp:align>
              </wp:positionH>
              <wp:positionV relativeFrom="page">
                <wp:align>bottom</wp:align>
              </wp:positionV>
              <wp:extent cx="443865" cy="443865"/>
              <wp:effectExtent l="0" t="0" r="3175" b="0"/>
              <wp:wrapNone/>
              <wp:docPr id="4"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A8286" w14:textId="1E6E1AE2" w:rsidR="00C25E6D" w:rsidRPr="00C25E6D" w:rsidRDefault="00C25E6D" w:rsidP="00C25E6D">
                          <w:pPr>
                            <w:spacing w:after="0"/>
                            <w:rPr>
                              <w:rFonts w:ascii="Calibri" w:eastAsia="Calibri" w:hAnsi="Calibri" w:cs="Calibri"/>
                              <w:noProof/>
                              <w:color w:val="000000"/>
                              <w:sz w:val="16"/>
                              <w:szCs w:val="16"/>
                            </w:rPr>
                          </w:pPr>
                          <w:r w:rsidRPr="00C25E6D">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2F404A" id="_x0000_t202" coordsize="21600,21600" o:spt="202" path="m,l,21600r21600,l21600,xe">
              <v:stroke joinstyle="miter"/>
              <v:path gradientshapeok="t" o:connecttype="rect"/>
            </v:shapetype>
            <v:shape id="Text Box 4" o:spid="_x0000_s1030" type="#_x0000_t202" alt="Atenţie! Se interzice deţinerea, sustragerea, alterarea, multiplicarea, distrugerea sau folosirea  acestui document fără a dispune de drept de acces autoriza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4XOsCwIAABwEAAAOAAAAZHJzL2Uyb0RvYy54bWysU01v2zAMvQ/YfxB0X+x0TdEacYqsRYYB QVsgHXqWZSk2IImCpMTOfv0o2U62bqdhF/mZpPjx+LS877UiR+F8C6ak81lOiTAc6tbsS/r9dfPp lhIfmKmZAiNKehKe3q8+flh2thBX0ICqhSOYxPiisyVtQrBFlnneCM38DKww6JTgNAv46/ZZ7ViH 2bXKrvL8JuvA1dYBF96j9XFw0lXKL6Xg4VlKLwJRJcXeQjpdOqt4ZqslK/aO2ablYxvsH7rQrDVY 9JzqkQVGDq79I5VuuQMPMsw46AykbLlIM+A08/zdNLuGWZFmQXK8PdPk/19a/nTc2RdHQv8Felxg JKSzvvBojPP00un4xU4J+pHC05k20QfC0Xh9/fn2ZkEJR9eIMUt2uWydD18FaBJBSR1uJZHFjlsf htApJNYysGmVSptR5jcD5oyW7NJhRKGvetLWJV1M3VdQn3AoB8O+veWbFktvmQ8vzOGCcQ4UbXjG QyroSgojoqQB9+Nv9hiPvKOXkg4FU1KDiqZEfTO4j6itCbgJVAnM7/JFjn5z0A+AMpzji7A8QbS6 oCYoHeg3lPM6FkIXMxzLlbSa4EMYlIvPgYv1OgWhjCwLW7OzPKaOdEUuX/s35uxIeMBNPcGkJla8 432IjTe9XR8Csp+WEqkdiBwZRwmmtY7PJWr81/8UdXnUq58AAAD//wMAUEsDBBQABgAIAAAAIQA3 7dH42QAAAAMBAAAPAAAAZHJzL2Rvd25yZXYueG1sTI9BT8MwDIXvSPyHyEjcWMomJlaaTmgSpyGk bVy4eYnXFhqnatyt+/cEOLCLn6xnvfe5WI6+VUfqYxPYwP0kA0Vsg2u4MvC+e7l7BBUF2WEbmAyc KcKyvL4qMHfhxBs6bqVSKYRjjgZqkS7XOtqaPMZJ6IiTdwi9R0lrX2nX4ymF+1ZPs2yuPTacGmrs aFWT/doO3sDDRl6HN97NPsbp+XPdrezssLbG3N6Mz0+ghEb5P4Yf/IQOZWLah4FdVK2B9Ij8zuTN FwtQ+z/VZaEv2ctvAAAA//8DAFBLAQItABQABgAIAAAAIQC2gziS/gAAAOEBAAATAAAAAAAAAAAA AAAAAAAAAABbQ29udGVudF9UeXBlc10ueG1sUEsBAi0AFAAGAAgAAAAhADj9If/WAAAAlAEAAAsA AAAAAAAAAAAAAAAALwEAAF9yZWxzLy5yZWxzUEsBAi0AFAAGAAgAAAAhALvhc6wLAgAAHAQAAA4A AAAAAAAAAAAAAAAALgIAAGRycy9lMm9Eb2MueG1sUEsBAi0AFAAGAAgAAAAhADft0fjZAAAAAwEA AA8AAAAAAAAAAAAAAAAAZQQAAGRycy9kb3ducmV2LnhtbFBLBQYAAAAABAAEAPMAAABrBQAAAAA= " filled="f" stroked="f">
              <v:textbox style="mso-fit-shape-to-text:t" inset="0,0,0,15pt">
                <w:txbxContent>
                  <w:p w14:paraId="4DFA8286" w14:textId="1E6E1AE2" w:rsidR="00C25E6D" w:rsidRPr="00C25E6D" w:rsidRDefault="00C25E6D" w:rsidP="00C25E6D">
                    <w:pPr>
                      <w:spacing w:after="0"/>
                      <w:rPr>
                        <w:rFonts w:ascii="Calibri" w:eastAsia="Calibri" w:hAnsi="Calibri" w:cs="Calibri"/>
                        <w:noProof/>
                        <w:color w:val="000000"/>
                        <w:sz w:val="16"/>
                        <w:szCs w:val="16"/>
                      </w:rPr>
                    </w:pPr>
                    <w:r w:rsidRPr="00C25E6D">
                      <w:rPr>
                        <w:rFonts w:ascii="Calibri" w:eastAsia="Calibri" w:hAnsi="Calibri" w:cs="Calibri"/>
                        <w:noProof/>
                        <w:color w:val="000000"/>
                        <w:sz w:val="16"/>
                        <w:szCs w:val="16"/>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0BE3E" w14:textId="77777777" w:rsidR="00FF56C2" w:rsidRDefault="00FF56C2" w:rsidP="00C25E6D">
      <w:pPr>
        <w:spacing w:after="0" w:line="240" w:lineRule="auto"/>
      </w:pPr>
      <w:r>
        <w:separator/>
      </w:r>
    </w:p>
  </w:footnote>
  <w:footnote w:type="continuationSeparator" w:id="0">
    <w:p w14:paraId="3FF7034A" w14:textId="77777777" w:rsidR="00FF56C2" w:rsidRDefault="00FF56C2" w:rsidP="00C25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A737" w14:textId="4B5D694A" w:rsidR="00C25E6D" w:rsidRDefault="00C25E6D">
    <w:pPr>
      <w:pStyle w:val="Header"/>
    </w:pPr>
    <w:r>
      <w:rPr>
        <w:noProof/>
      </w:rPr>
      <mc:AlternateContent>
        <mc:Choice Requires="wps">
          <w:drawing>
            <wp:anchor distT="0" distB="0" distL="0" distR="0" simplePos="0" relativeHeight="251659264" behindDoc="0" locked="0" layoutInCell="1" allowOverlap="1" wp14:anchorId="599D248E" wp14:editId="7A61428E">
              <wp:simplePos x="635" y="635"/>
              <wp:positionH relativeFrom="page">
                <wp:align>right</wp:align>
              </wp:positionH>
              <wp:positionV relativeFrom="page">
                <wp:align>top</wp:align>
              </wp:positionV>
              <wp:extent cx="443865" cy="443865"/>
              <wp:effectExtent l="0" t="0" r="0" b="8890"/>
              <wp:wrapNone/>
              <wp:docPr id="2"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B8386F" w14:textId="0959ECAB" w:rsidR="00C25E6D" w:rsidRPr="00C25E6D" w:rsidRDefault="00C25E6D" w:rsidP="00C25E6D">
                          <w:pPr>
                            <w:spacing w:after="0"/>
                            <w:rPr>
                              <w:rFonts w:ascii="Calibri" w:eastAsia="Calibri" w:hAnsi="Calibri" w:cs="Calibri"/>
                              <w:noProof/>
                              <w:color w:val="000000"/>
                              <w:sz w:val="24"/>
                              <w:szCs w:val="24"/>
                            </w:rPr>
                          </w:pPr>
                          <w:r w:rsidRPr="00C25E6D">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99D248E" id="_x0000_t202" coordsize="21600,21600" o:spt="202" path="m,l,21600r21600,l21600,xe">
              <v:stroke joinstyle="miter"/>
              <v:path gradientshapeok="t" o:connecttype="rect"/>
            </v:shapetype>
            <v:shape id="Text Box 2" o:spid="_x0000_s1026" type="#_x0000_t202" alt="SP-2"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J4bCgIAABoEAAAOAAAAZHJzL2Uyb0RvYy54bWysU1tr2zAUfh/sPwi9L3aypLQmTslaMgah LaSjz4osxQZJR0hK7OzX70i2k63b09iLfG4+l+98Z3nfaUVOwvkGTEmnk5wSYThUjTmU9Pvr5tMt JT4wUzEFRpT0LDy9X338sGxtIWZQg6qEI5jE+KK1Ja1DsEWWeV4LzfwErDDolOA0C6i6Q1Y51mJ2 rbJZnt9kLbjKOuDCe7Q+9k66SvmlFDw8S+lFIKqk2FtIr0vvPr7ZasmKg2O2bvjQBvuHLjRrDBa9 pHpkgZGja/5IpRvuwIMMEw46AykbLtIMOM00fzfNrmZWpFkQHG8vMPn/l5Y/nXb2xZHQfYEOFxgB aa0vPBrjPJ10On6xU4J+hPB8gU10gXA0zuefb28WlHB0DTJmya4/W+fDVwGaRKGkDreSwGKnrQ99 6BgSaxnYNEqlzSjzmwFzRkt27TBKodt3Q9t7qM44jYN+0d7yTYM1t8yHF+ZwszgAsjU84yMVtCWF QaKkBvfjb/YYj4Cjl5IWmVJSg1SmRH0zuIhIqiRM7/JFjppL2mwxz6O2H4PMUT8AknCK92B5EmNw UKMoHeg3JPM6VkMXMxxrljSM4kPoeYvHwMV6nYKQRJaFrdlZHlNHsCKSr90bc3aAO+CenmDkEive od7Hxj+9XR8DYp9WEoHt0RzwRgKmpQ7HEhn+q56irie9+gkAAP//AwBQSwMEFAAGAAgAAAAhAHdX hELaAAAAAwEAAA8AAABkcnMvZG93bnJldi54bWxMj0FLw0AQhe+C/2GZghexGxVKE7MpIhTswYOt OXibZKdJaHY27G7T5N+76kEv8xje8N43+WYyvRjJ+c6ygvtlAoK4trrjRsHHYXu3BuEDssbeMimY ycOmuL7KMdP2wu807kMjYgj7DBW0IQyZlL5uyaBf2oE4ekfrDIa4ukZqh5cYbnr5kCQrabDj2NDi QC8t1af92SgoJ3f7tk13r3P12Y1zsisf18dSqZvF9PwEItAU/o7hGz+iQxGZKntm7UWvID4Sfmb0 VmkKovpVWeTyP3vxBQAA//8DAFBLAQItABQABgAIAAAAIQC2gziS/gAAAOEBAAATAAAAAAAAAAAA AAAAAAAAAABbQ29udGVudF9UeXBlc10ueG1sUEsBAi0AFAAGAAgAAAAhADj9If/WAAAAlAEAAAsA AAAAAAAAAAAAAAAALwEAAF9yZWxzLy5yZWxzUEsBAi0AFAAGAAgAAAAhAJ1gnhsKAgAAGgQAAA4A AAAAAAAAAAAAAAAALgIAAGRycy9lMm9Eb2MueG1sUEsBAi0AFAAGAAgAAAAhAHdXhELaAAAAAwEA AA8AAAAAAAAAAAAAAAAAZAQAAGRycy9kb3ducmV2LnhtbFBLBQYAAAAABAAEAPMAAABrBQAAAAA= " filled="f" stroked="f">
              <v:textbox style="mso-fit-shape-to-text:t" inset="0,15pt,20pt,0">
                <w:txbxContent>
                  <w:p w14:paraId="6FB8386F" w14:textId="0959ECAB" w:rsidR="00C25E6D" w:rsidRPr="00C25E6D" w:rsidRDefault="00C25E6D" w:rsidP="00C25E6D">
                    <w:pPr>
                      <w:spacing w:after="0"/>
                      <w:rPr>
                        <w:rFonts w:ascii="Calibri" w:eastAsia="Calibri" w:hAnsi="Calibri" w:cs="Calibri"/>
                        <w:noProof/>
                        <w:color w:val="000000"/>
                        <w:sz w:val="24"/>
                        <w:szCs w:val="24"/>
                      </w:rPr>
                    </w:pPr>
                    <w:r w:rsidRPr="00C25E6D">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5858" w14:textId="2E905C18" w:rsidR="00C25E6D" w:rsidRDefault="00C25E6D">
    <w:pPr>
      <w:pStyle w:val="Header"/>
    </w:pPr>
    <w:r>
      <w:rPr>
        <w:noProof/>
      </w:rPr>
      <mc:AlternateContent>
        <mc:Choice Requires="wps">
          <w:drawing>
            <wp:anchor distT="0" distB="0" distL="0" distR="0" simplePos="0" relativeHeight="251660288" behindDoc="0" locked="0" layoutInCell="1" allowOverlap="1" wp14:anchorId="7329DAE3" wp14:editId="243DCE8C">
              <wp:simplePos x="1078173" y="450376"/>
              <wp:positionH relativeFrom="page">
                <wp:align>right</wp:align>
              </wp:positionH>
              <wp:positionV relativeFrom="page">
                <wp:align>top</wp:align>
              </wp:positionV>
              <wp:extent cx="443865" cy="443865"/>
              <wp:effectExtent l="0" t="0" r="0" b="8890"/>
              <wp:wrapNone/>
              <wp:docPr id="3" name="Text Box 3"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F23D57" w14:textId="2227E230" w:rsidR="00C25E6D" w:rsidRPr="00C25E6D" w:rsidRDefault="00C25E6D" w:rsidP="00C25E6D">
                          <w:pPr>
                            <w:spacing w:after="0"/>
                            <w:rPr>
                              <w:rFonts w:ascii="Calibri" w:eastAsia="Calibri" w:hAnsi="Calibri" w:cs="Calibri"/>
                              <w:noProof/>
                              <w:color w:val="000000"/>
                              <w:sz w:val="24"/>
                              <w:szCs w:val="24"/>
                            </w:rPr>
                          </w:pPr>
                          <w:r w:rsidRPr="00C25E6D">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29DAE3" id="_x0000_t202" coordsize="21600,21600" o:spt="202" path="m,l,21600r21600,l21600,xe">
              <v:stroke joinstyle="miter"/>
              <v:path gradientshapeok="t" o:connecttype="rect"/>
            </v:shapetype>
            <v:shape id="Text Box 3" o:spid="_x0000_s1027" type="#_x0000_t202" alt="SP-2"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XBtDQIAACEEAAAOAAAAZHJzL2Uyb0RvYy54bWysU11v2yAUfZ+0/4B4X+xkSdVZcaqsVaZJ UVspnfpMMMSWgIuAxM5+/S7YTrpuT9Ne8P3y5d5zDsu7TityEs43YEo6neSUCMOhasyhpD9eNp9u KfGBmYopMKKkZ+Hp3erjh2VrCzGDGlQlHMEmxhetLWkdgi2yzPNaaOYnYIXBpASnWUDXHbLKsRa7 a5XN8vwma8FV1gEX3mP0oU/SVeovpeDhSUovAlElxdlCOl069/HMVktWHByzdcOHMdg/TKFZY/DS S6sHFhg5uuaPVrrhDjzIMOGgM5Cy4SLtgNtM83fb7GpmRdoFwfH2ApP/f23542lnnx0J3VfokMAI SGt94TEY9+mk0/GLkxLMI4TnC2yiC4RjcD7/fHuzoIRjarCxS3b92TofvgnQJBoldchKAoudtj70 pWNJvMvAplEqMaPMbwHsGSPZdcJohW7fkaZ6M/0eqjMu5aDn21u+afDqLfPhmTkkGPdA0YYnPKSC tqQwWJTU4H7+LR7rEXfMUtKiYEpqUNGUqO8G+YjaSsb0S77I0XPJmy3mefT2Y5E56ntALU7xWVie zFgc1GhKB/oVNb2Ot2GKGY53ljSM5n3o5Ytvgov1OhWhliwLW7OzPLaOmEVAX7pX5uyAekC6HmGU FCvegd/Xxj+9XR8DUpCYifj2aA6wow4Tt8ObiUJ/66eq68te/QIAAP//AwBQSwMEFAAGAAgAAAAh AHdXhELaAAAAAwEAAA8AAABkcnMvZG93bnJldi54bWxMj0FLw0AQhe+C/2GZghexGxVKE7MpIhTs wYOtOXibZKdJaHY27G7T5N+76kEv8xje8N43+WYyvRjJ+c6ygvtlAoK4trrjRsHHYXu3BuEDssbe MimYycOmuL7KMdP2wu807kMjYgj7DBW0IQyZlL5uyaBf2oE4ekfrDIa4ukZqh5cYbnr5kCQrabDj 2NDiQC8t1af92SgoJ3f7tk13r3P12Y1zsisf18dSqZvF9PwEItAU/o7hGz+iQxGZKntm7UWvID4S fmb0VmkKovpVWeTyP3vxBQAA//8DAFBLAQItABQABgAIAAAAIQC2gziS/gAAAOEBAAATAAAAAAAA AAAAAAAAAAAAAABbQ29udGVudF9UeXBlc10ueG1sUEsBAi0AFAAGAAgAAAAhADj9If/WAAAAlAEA AAsAAAAAAAAAAAAAAAAALwEAAF9yZWxzLy5yZWxzUEsBAi0AFAAGAAgAAAAhAB8tcG0NAgAAIQQA AA4AAAAAAAAAAAAAAAAALgIAAGRycy9lMm9Eb2MueG1sUEsBAi0AFAAGAAgAAAAhAHdXhELaAAAA AwEAAA8AAAAAAAAAAAAAAAAAZwQAAGRycy9kb3ducmV2LnhtbFBLBQYAAAAABAAEAPMAAABuBQAA AAA= " filled="f" stroked="f">
              <v:textbox style="mso-fit-shape-to-text:t" inset="0,15pt,20pt,0">
                <w:txbxContent>
                  <w:p w14:paraId="02F23D57" w14:textId="2227E230" w:rsidR="00C25E6D" w:rsidRPr="00C25E6D" w:rsidRDefault="00C25E6D" w:rsidP="00C25E6D">
                    <w:pPr>
                      <w:spacing w:after="0"/>
                      <w:rPr>
                        <w:rFonts w:ascii="Calibri" w:eastAsia="Calibri" w:hAnsi="Calibri" w:cs="Calibri"/>
                        <w:noProof/>
                        <w:color w:val="000000"/>
                        <w:sz w:val="24"/>
                        <w:szCs w:val="24"/>
                      </w:rPr>
                    </w:pPr>
                    <w:r w:rsidRPr="00C25E6D">
                      <w:rPr>
                        <w:rFonts w:ascii="Calibri" w:eastAsia="Calibri" w:hAnsi="Calibri" w:cs="Calibri"/>
                        <w:noProof/>
                        <w:color w:val="000000"/>
                        <w:sz w:val="24"/>
                        <w:szCs w:val="24"/>
                      </w:rPr>
                      <w:t>SP-2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96BC" w14:textId="37120934" w:rsidR="00C25E6D" w:rsidRDefault="00C25E6D">
    <w:pPr>
      <w:pStyle w:val="Header"/>
    </w:pPr>
    <w:r>
      <w:rPr>
        <w:noProof/>
      </w:rPr>
      <mc:AlternateContent>
        <mc:Choice Requires="wps">
          <w:drawing>
            <wp:anchor distT="0" distB="0" distL="0" distR="0" simplePos="0" relativeHeight="251658240" behindDoc="0" locked="0" layoutInCell="1" allowOverlap="1" wp14:anchorId="49F7E083" wp14:editId="22EBF624">
              <wp:simplePos x="635" y="635"/>
              <wp:positionH relativeFrom="page">
                <wp:align>right</wp:align>
              </wp:positionH>
              <wp:positionV relativeFrom="page">
                <wp:align>top</wp:align>
              </wp:positionV>
              <wp:extent cx="443865" cy="443865"/>
              <wp:effectExtent l="0" t="0" r="0" b="8890"/>
              <wp:wrapNone/>
              <wp:docPr id="1" name="Text Box 1"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155B50" w14:textId="305CE30E" w:rsidR="00C25E6D" w:rsidRPr="00C25E6D" w:rsidRDefault="00C25E6D" w:rsidP="00C25E6D">
                          <w:pPr>
                            <w:spacing w:after="0"/>
                            <w:rPr>
                              <w:rFonts w:ascii="Calibri" w:eastAsia="Calibri" w:hAnsi="Calibri" w:cs="Calibri"/>
                              <w:noProof/>
                              <w:color w:val="000000"/>
                              <w:sz w:val="24"/>
                              <w:szCs w:val="24"/>
                            </w:rPr>
                          </w:pPr>
                          <w:r w:rsidRPr="00C25E6D">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9F7E083" id="_x0000_t202" coordsize="21600,21600" o:spt="202" path="m,l,21600r21600,l21600,xe">
              <v:stroke joinstyle="miter"/>
              <v:path gradientshapeok="t" o:connecttype="rect"/>
            </v:shapetype>
            <v:shape id="Text Box 1" o:spid="_x0000_s1029" type="#_x0000_t202" alt="SP-2"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l2SqDwIAACEEAAAOAAAAZHJzL2Uyb0RvYy54bWysU01v2zAMvQ/YfxB0X+xkSdEacYqsRYYB QVsgHXpWZCk2IImCpMTOfv0o2U62bqdhF5kiaX6897S877QiJ+F8A6ak00lOiTAcqsYcSvr9dfPp lhIfmKmYAiNKehae3q8+fli2thAzqEFVwhEsYnzR2pLWIdgiyzyvhWZ+AlYYDEpwmgW8ukNWOdZi da2yWZ7fZC24yjrgwnv0PvZBukr1pRQ8PEvpRSCqpDhbSKdL5z6e2WrJioNjtm74MAb7hyk0aww2 vZR6ZIGRo2v+KKUb7sCDDBMOOgMpGy7SDrjNNH+3za5mVqRdEBxvLzD5/1eWP5129sWR0H2BDgmM gLTWFx6dcZ9OOh2/OCnBOEJ4vsAmukA4Oufzz7c3C0o4hgYbq2TXn63z4asATaJRUoesJLDYaetD nzqmxF4GNo1SiRllfnNgzejJrhNGK3T7jjQVNh+n30N1xqUc9Hx7yzcNtt4yH16YQ4JxDxRteMZD KmhLCoNFSQ3ux9/8MR9xxyglLQqmpAYVTYn6ZpCPqK1kTO/yRY43l26zxTyPt/2YZI76AVCLU3wW liczJgc1mtKBfkNNr2M3DDHDsWdJw2g+hF6++Ca4WK9TEmrJsrA1O8tj6YhZBPS1e2PODqgHpOsJ Rkmx4h34fW7809v1MSAFiZmIb4/mADvqMHE7vJko9F/vKev6slc/AQAA//8DAFBLAwQUAAYACAAA ACEAd1eEQtoAAAADAQAADwAAAGRycy9kb3ducmV2LnhtbEyPQUvDQBCF74L/YZmCF7EbFUoTsyki FOzBg605eJtkp0lodjbsbtPk37vqQS/zGN7w3jf5ZjK9GMn5zrKC+2UCgri2uuNGwcdhe7cG4QOy xt4yKZjJw6a4vsox0/bC7zTuQyNiCPsMFbQhDJmUvm7JoF/agTh6R+sMhri6RmqHlxhuevmQJCtp sOPY0OJALy3Vp/3ZKCgnd/u2TXevc/XZjXOyKx/Xx1Kpm8X0/AQi0BT+juEbP6JDEZkqe2btRa8g PhJ+ZvRWaQqi+lVZ5PI/e/EFAAD//wMAUEsBAi0AFAAGAAgAAAAhALaDOJL+AAAA4QEAABMAAAAA AAAAAAAAAAAAAAAAAFtDb250ZW50X1R5cGVzXS54bWxQSwECLQAUAAYACAAAACEAOP0h/9YAAACU AQAACwAAAAAAAAAAAAAAAAAvAQAAX3JlbHMvLnJlbHNQSwECLQAUAAYACAAAACEA7Jdkqg8CAAAh BAAADgAAAAAAAAAAAAAAAAAuAgAAZHJzL2Uyb0RvYy54bWxQSwECLQAUAAYACAAAACEAd1eEQtoA AAADAQAADwAAAAAAAAAAAAAAAABpBAAAZHJzL2Rvd25yZXYueG1sUEsFBgAAAAAEAAQA8wAAAHAF AAAAAA== " filled="f" stroked="f">
              <v:textbox style="mso-fit-shape-to-text:t" inset="0,15pt,20pt,0">
                <w:txbxContent>
                  <w:p w14:paraId="4A155B50" w14:textId="305CE30E" w:rsidR="00C25E6D" w:rsidRPr="00C25E6D" w:rsidRDefault="00C25E6D" w:rsidP="00C25E6D">
                    <w:pPr>
                      <w:spacing w:after="0"/>
                      <w:rPr>
                        <w:rFonts w:ascii="Calibri" w:eastAsia="Calibri" w:hAnsi="Calibri" w:cs="Calibri"/>
                        <w:noProof/>
                        <w:color w:val="000000"/>
                        <w:sz w:val="24"/>
                        <w:szCs w:val="24"/>
                      </w:rPr>
                    </w:pPr>
                    <w:r w:rsidRPr="00C25E6D">
                      <w:rPr>
                        <w:rFonts w:ascii="Calibri" w:eastAsia="Calibri" w:hAnsi="Calibri" w:cs="Calibri"/>
                        <w:noProof/>
                        <w:color w:val="000000"/>
                        <w:sz w:val="24"/>
                        <w:szCs w:val="24"/>
                      </w:rPr>
                      <w:t>SP-2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96"/>
    <w:rsid w:val="0001399F"/>
    <w:rsid w:val="000C69D2"/>
    <w:rsid w:val="001A4DC3"/>
    <w:rsid w:val="001B0475"/>
    <w:rsid w:val="001C6706"/>
    <w:rsid w:val="001E1943"/>
    <w:rsid w:val="00235B11"/>
    <w:rsid w:val="00236424"/>
    <w:rsid w:val="00237F1C"/>
    <w:rsid w:val="002B12E5"/>
    <w:rsid w:val="00351533"/>
    <w:rsid w:val="003B4E4D"/>
    <w:rsid w:val="003F66A2"/>
    <w:rsid w:val="00404045"/>
    <w:rsid w:val="004635E0"/>
    <w:rsid w:val="00500796"/>
    <w:rsid w:val="00582B3B"/>
    <w:rsid w:val="006E4237"/>
    <w:rsid w:val="0072403D"/>
    <w:rsid w:val="007E482D"/>
    <w:rsid w:val="007E64D8"/>
    <w:rsid w:val="0083341C"/>
    <w:rsid w:val="008917B7"/>
    <w:rsid w:val="008F4F94"/>
    <w:rsid w:val="009110A8"/>
    <w:rsid w:val="009E7456"/>
    <w:rsid w:val="00A80947"/>
    <w:rsid w:val="00B65ABB"/>
    <w:rsid w:val="00B759E3"/>
    <w:rsid w:val="00C02C90"/>
    <w:rsid w:val="00C206F7"/>
    <w:rsid w:val="00C25E6D"/>
    <w:rsid w:val="00C627EC"/>
    <w:rsid w:val="00CA5428"/>
    <w:rsid w:val="00D32658"/>
    <w:rsid w:val="00E30DB4"/>
    <w:rsid w:val="00E912EB"/>
    <w:rsid w:val="00F02EF6"/>
    <w:rsid w:val="00FF56C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6FA82"/>
  <w15:chartTrackingRefBased/>
  <w15:docId w15:val="{529ED341-A021-4314-928F-26CDBEB5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4D8"/>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E6D"/>
    <w:pPr>
      <w:tabs>
        <w:tab w:val="center" w:pos="4677"/>
        <w:tab w:val="right" w:pos="9355"/>
      </w:tabs>
      <w:spacing w:after="0" w:line="240" w:lineRule="auto"/>
    </w:pPr>
    <w:rPr>
      <w:kern w:val="2"/>
      <w:lang w:val="ro-MD"/>
      <w14:ligatures w14:val="standardContextual"/>
    </w:rPr>
  </w:style>
  <w:style w:type="character" w:customStyle="1" w:styleId="HeaderChar">
    <w:name w:val="Header Char"/>
    <w:basedOn w:val="DefaultParagraphFont"/>
    <w:link w:val="Header"/>
    <w:uiPriority w:val="99"/>
    <w:rsid w:val="00C25E6D"/>
  </w:style>
  <w:style w:type="paragraph" w:styleId="Footer">
    <w:name w:val="footer"/>
    <w:basedOn w:val="Normal"/>
    <w:link w:val="FooterChar"/>
    <w:uiPriority w:val="99"/>
    <w:unhideWhenUsed/>
    <w:rsid w:val="00C25E6D"/>
    <w:pPr>
      <w:tabs>
        <w:tab w:val="center" w:pos="4677"/>
        <w:tab w:val="right" w:pos="9355"/>
      </w:tabs>
      <w:spacing w:after="0" w:line="240" w:lineRule="auto"/>
    </w:pPr>
    <w:rPr>
      <w:kern w:val="2"/>
      <w:lang w:val="ro-MD"/>
      <w14:ligatures w14:val="standardContextual"/>
    </w:rPr>
  </w:style>
  <w:style w:type="character" w:customStyle="1" w:styleId="FooterChar">
    <w:name w:val="Footer Char"/>
    <w:basedOn w:val="DefaultParagraphFont"/>
    <w:link w:val="Footer"/>
    <w:uiPriority w:val="99"/>
    <w:rsid w:val="00C25E6D"/>
  </w:style>
  <w:style w:type="paragraph" w:styleId="ListParagraph">
    <w:name w:val="List Paragraph"/>
    <w:basedOn w:val="Normal"/>
    <w:uiPriority w:val="34"/>
    <w:qFormat/>
    <w:rsid w:val="001B0475"/>
    <w:pPr>
      <w:ind w:left="720"/>
      <w:contextualSpacing/>
    </w:pPr>
  </w:style>
  <w:style w:type="paragraph" w:styleId="Revision">
    <w:name w:val="Revision"/>
    <w:hidden/>
    <w:uiPriority w:val="99"/>
    <w:semiHidden/>
    <w:rsid w:val="00404045"/>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235B11"/>
    <w:rPr>
      <w:sz w:val="16"/>
      <w:szCs w:val="16"/>
    </w:rPr>
  </w:style>
  <w:style w:type="paragraph" w:styleId="CommentText">
    <w:name w:val="annotation text"/>
    <w:basedOn w:val="Normal"/>
    <w:link w:val="CommentTextChar"/>
    <w:uiPriority w:val="99"/>
    <w:unhideWhenUsed/>
    <w:rsid w:val="00235B11"/>
    <w:pPr>
      <w:spacing w:line="240" w:lineRule="auto"/>
    </w:pPr>
    <w:rPr>
      <w:sz w:val="20"/>
      <w:szCs w:val="20"/>
    </w:rPr>
  </w:style>
  <w:style w:type="character" w:customStyle="1" w:styleId="CommentTextChar">
    <w:name w:val="Comment Text Char"/>
    <w:basedOn w:val="DefaultParagraphFont"/>
    <w:link w:val="CommentText"/>
    <w:uiPriority w:val="99"/>
    <w:rsid w:val="00235B11"/>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35B11"/>
    <w:rPr>
      <w:b/>
      <w:bCs/>
    </w:rPr>
  </w:style>
  <w:style w:type="character" w:customStyle="1" w:styleId="CommentSubjectChar">
    <w:name w:val="Comment Subject Char"/>
    <w:basedOn w:val="CommentTextChar"/>
    <w:link w:val="CommentSubject"/>
    <w:uiPriority w:val="99"/>
    <w:semiHidden/>
    <w:rsid w:val="00235B11"/>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13</Pages>
  <Words>3301</Words>
  <Characters>19146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2026-03-05T06:51:00Z</dcterms:created>
  <dcterms:modified xsi:type="dcterms:W3CDTF">2026-06-19T10:24:00Z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SP-2</vt:lpwstr>
  </property>
  <property fmtid="{D5CDD505-2E9C-101B-9397-08002B2CF9AE}" pid="5" name="ClassificationContentMarkingFooterShapeIds">
    <vt:lpwstr>4,5,6</vt:lpwstr>
  </property>
  <property fmtid="{D5CDD505-2E9C-101B-9397-08002B2CF9AE}" pid="6" name="ClassificationContentMarkingFooterFontProps">
    <vt:lpwstr>#000000,8,Calibri</vt:lpwstr>
  </property>
  <property fmtid="{D5CDD505-2E9C-101B-9397-08002B2CF9AE}" pid="7" name="ClassificationContentMarkingFooterText">
    <vt:lpwstr>Atenţie! Se interzice deţinerea, sustragerea, alterarea, multiplicarea, distrugerea sau folosirea  acestui document fără a dispune de drept de acces autorizat.</vt:lpwstr>
  </property>
  <property fmtid="{D5CDD505-2E9C-101B-9397-08002B2CF9AE}" pid="8" name="MSIP_Label_70108aff-3426-4749-9d04-de3a5077dcce_Enabled">
    <vt:lpwstr>true</vt:lpwstr>
  </property>
  <property fmtid="{D5CDD505-2E9C-101B-9397-08002B2CF9AE}" pid="9" name="MSIP_Label_70108aff-3426-4749-9d04-de3a5077dcce_SetDate">
    <vt:lpwstr>2026-03-04T06:08:56Z</vt:lpwstr>
  </property>
  <property fmtid="{D5CDD505-2E9C-101B-9397-08002B2CF9AE}" pid="10" name="MSIP_Label_70108aff-3426-4749-9d04-de3a5077dcce_Method">
    <vt:lpwstr>Privileged</vt:lpwstr>
  </property>
  <property fmtid="{D5CDD505-2E9C-101B-9397-08002B2CF9AE}" pid="11" name="MSIP_Label_70108aff-3426-4749-9d04-de3a5077dcce_Name">
    <vt:lpwstr>SP-2</vt:lpwstr>
  </property>
  <property fmtid="{D5CDD505-2E9C-101B-9397-08002B2CF9AE}" pid="12" name="MSIP_Label_70108aff-3426-4749-9d04-de3a5077dcce_SiteId">
    <vt:lpwstr>5887d430-0034-4561-b771-12c77faf2fa0</vt:lpwstr>
  </property>
  <property fmtid="{D5CDD505-2E9C-101B-9397-08002B2CF9AE}" pid="13" name="MSIP_Label_70108aff-3426-4749-9d04-de3a5077dcce_ActionId">
    <vt:lpwstr>0a65e0b4-2d7c-4757-ac8b-c0789daee546</vt:lpwstr>
  </property>
  <property fmtid="{D5CDD505-2E9C-101B-9397-08002B2CF9AE}" pid="14" name="MSIP_Label_70108aff-3426-4749-9d04-de3a5077dcce_ContentBits">
    <vt:lpwstr>3</vt:lpwstr>
  </property>
</Properties>
</file>